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22D7" w:rsidRPr="00162BDB" w:rsidRDefault="00BA22D7" w:rsidP="00CD40D6">
      <w:pPr>
        <w:pStyle w:val="Nadpis1"/>
      </w:pPr>
      <w:r w:rsidRPr="00162BDB">
        <w:t xml:space="preserve">Výzkum ve výtvarné výchově </w:t>
      </w:r>
      <w:bookmarkStart w:id="0" w:name="_GoBack"/>
      <w:bookmarkEnd w:id="0"/>
      <w:r w:rsidRPr="00162BDB">
        <w:t xml:space="preserve"> </w:t>
      </w:r>
    </w:p>
    <w:p w:rsidR="006A36EC" w:rsidRDefault="006A36EC" w:rsidP="00CD40D6">
      <w:pPr>
        <w:pStyle w:val="Nadpis2"/>
      </w:pPr>
      <w:r w:rsidRPr="00A91AF8">
        <w:t>Sémantická analýza výtvarného zážitku a teorie fikčních světů.</w:t>
      </w:r>
    </w:p>
    <w:p w:rsidR="00C942DE" w:rsidRDefault="00BA22D7" w:rsidP="00C942DE">
      <w:r>
        <w:t>Přednáška a s</w:t>
      </w:r>
      <w:r w:rsidR="00A91AF8">
        <w:t xml:space="preserve">eminář (Jan Slavík) </w:t>
      </w:r>
      <w:r w:rsidR="00C942DE">
        <w:t xml:space="preserve"> </w:t>
      </w:r>
    </w:p>
    <w:p w:rsidR="006A36EC" w:rsidRDefault="006A36EC"/>
    <w:p w:rsidR="00A91AF8" w:rsidRDefault="00A91AF8"/>
    <w:p w:rsidR="00FC7EF0" w:rsidRDefault="00FC7EF0"/>
    <w:p w:rsidR="00116785" w:rsidRPr="00116785" w:rsidRDefault="00116785">
      <w:pPr>
        <w:rPr>
          <w:u w:val="single"/>
        </w:rPr>
      </w:pPr>
      <w:r w:rsidRPr="00116785">
        <w:rPr>
          <w:u w:val="single"/>
        </w:rPr>
        <w:t>Základní literatura</w:t>
      </w:r>
    </w:p>
    <w:p w:rsidR="00FC7EF0" w:rsidRPr="00FC7EF0" w:rsidRDefault="00FC7EF0" w:rsidP="00FC7EF0">
      <w:pPr>
        <w:rPr>
          <w:snapToGrid w:val="0"/>
        </w:rPr>
      </w:pPr>
      <w:r w:rsidRPr="00FC7EF0">
        <w:rPr>
          <w:snapToGrid w:val="0"/>
        </w:rPr>
        <w:t xml:space="preserve">ČERVENKA, M. </w:t>
      </w:r>
      <w:r w:rsidRPr="00FC7EF0">
        <w:rPr>
          <w:i/>
          <w:snapToGrid w:val="0"/>
        </w:rPr>
        <w:t xml:space="preserve">Fikční světy lyriky. </w:t>
      </w:r>
      <w:r w:rsidRPr="00FC7EF0">
        <w:rPr>
          <w:snapToGrid w:val="0"/>
        </w:rPr>
        <w:t xml:space="preserve">Praha – </w:t>
      </w:r>
      <w:proofErr w:type="gramStart"/>
      <w:r w:rsidRPr="00FC7EF0">
        <w:rPr>
          <w:snapToGrid w:val="0"/>
        </w:rPr>
        <w:t>Litomyšl : Paseka</w:t>
      </w:r>
      <w:proofErr w:type="gramEnd"/>
      <w:r w:rsidRPr="00FC7EF0">
        <w:rPr>
          <w:snapToGrid w:val="0"/>
        </w:rPr>
        <w:t xml:space="preserve"> 2003. ISBN 80-7185-592-8.</w:t>
      </w:r>
    </w:p>
    <w:p w:rsidR="00980204" w:rsidRPr="00EB4C2A" w:rsidRDefault="00980204" w:rsidP="00980204">
      <w:pPr>
        <w:rPr>
          <w:snapToGrid w:val="0"/>
        </w:rPr>
      </w:pPr>
      <w:r>
        <w:rPr>
          <w:snapToGrid w:val="0"/>
        </w:rPr>
        <w:t xml:space="preserve">DOLEŽEL, L. (2003) </w:t>
      </w:r>
      <w:r w:rsidRPr="008C5F48">
        <w:rPr>
          <w:i/>
          <w:iCs/>
          <w:snapToGrid w:val="0"/>
        </w:rPr>
        <w:t>Heterocosmica. Fikce a možné světy</w:t>
      </w:r>
      <w:r>
        <w:rPr>
          <w:snapToGrid w:val="0"/>
        </w:rPr>
        <w:t xml:space="preserve">. </w:t>
      </w:r>
      <w:proofErr w:type="gramStart"/>
      <w:r>
        <w:rPr>
          <w:snapToGrid w:val="0"/>
        </w:rPr>
        <w:t>Praha : Univerzita</w:t>
      </w:r>
      <w:proofErr w:type="gramEnd"/>
      <w:r>
        <w:rPr>
          <w:snapToGrid w:val="0"/>
        </w:rPr>
        <w:t xml:space="preserve"> Karlova v Praze, Nakladatelství Karolinum, 2003. ISBN 80-246-0735-2.</w:t>
      </w:r>
    </w:p>
    <w:p w:rsidR="00980204" w:rsidRPr="001B519B" w:rsidRDefault="00980204" w:rsidP="00980204">
      <w:pPr>
        <w:rPr>
          <w:snapToGrid w:val="0"/>
        </w:rPr>
      </w:pPr>
      <w:r w:rsidRPr="001B519B">
        <w:rPr>
          <w:snapToGrid w:val="0"/>
        </w:rPr>
        <w:t xml:space="preserve">GOODMAN, N. </w:t>
      </w:r>
      <w:r w:rsidR="00FC7EF0">
        <w:rPr>
          <w:snapToGrid w:val="0"/>
        </w:rPr>
        <w:t xml:space="preserve">(1996) </w:t>
      </w:r>
      <w:r w:rsidRPr="001B519B">
        <w:rPr>
          <w:i/>
          <w:iCs/>
          <w:snapToGrid w:val="0"/>
        </w:rPr>
        <w:t>Způsoby světa-tvorby.</w:t>
      </w:r>
      <w:r w:rsidRPr="001B519B">
        <w:rPr>
          <w:snapToGrid w:val="0"/>
        </w:rPr>
        <w:t xml:space="preserve"> </w:t>
      </w:r>
      <w:proofErr w:type="gramStart"/>
      <w:r w:rsidRPr="001B519B">
        <w:rPr>
          <w:snapToGrid w:val="0"/>
        </w:rPr>
        <w:t>Bratislava : Archa</w:t>
      </w:r>
      <w:proofErr w:type="gramEnd"/>
      <w:r w:rsidRPr="001B519B">
        <w:rPr>
          <w:snapToGrid w:val="0"/>
        </w:rPr>
        <w:t xml:space="preserve"> 1996. ISBN 80-7115-120-3</w:t>
      </w:r>
      <w:r>
        <w:rPr>
          <w:snapToGrid w:val="0"/>
        </w:rPr>
        <w:t xml:space="preserve">. </w:t>
      </w:r>
    </w:p>
    <w:p w:rsidR="00FC7EF0" w:rsidRPr="00FC7EF0" w:rsidRDefault="00FC7EF0" w:rsidP="00FC7EF0">
      <w:r w:rsidRPr="00FC7EF0">
        <w:t xml:space="preserve">QUINE, W. V. O. (2002) </w:t>
      </w:r>
      <w:r w:rsidRPr="00FC7EF0">
        <w:rPr>
          <w:i/>
          <w:iCs/>
        </w:rPr>
        <w:t xml:space="preserve">Od stimulu k vědě. </w:t>
      </w:r>
      <w:proofErr w:type="gramStart"/>
      <w:r w:rsidRPr="00FC7EF0">
        <w:t>Praha : Filosofia</w:t>
      </w:r>
      <w:proofErr w:type="gramEnd"/>
      <w:r w:rsidRPr="00FC7EF0">
        <w:t xml:space="preserve"> 2002. ISBN 80-7007-157-5.</w:t>
      </w:r>
    </w:p>
    <w:p w:rsidR="00980204" w:rsidRPr="00074492" w:rsidRDefault="00980204" w:rsidP="00980204">
      <w:r w:rsidRPr="00074492">
        <w:t xml:space="preserve">SLAVÍK, J. (2001) </w:t>
      </w:r>
      <w:r w:rsidRPr="00074492">
        <w:rPr>
          <w:i/>
          <w:iCs/>
        </w:rPr>
        <w:t>Umění zážitku, zážitek umění (teorie a praxe artefiletiky).</w:t>
      </w:r>
      <w:r w:rsidRPr="00074492">
        <w:t xml:space="preserve"> I. díl. </w:t>
      </w:r>
      <w:proofErr w:type="gramStart"/>
      <w:r w:rsidRPr="00074492">
        <w:t>Praha : Univerzita</w:t>
      </w:r>
      <w:proofErr w:type="gramEnd"/>
      <w:r w:rsidRPr="00074492">
        <w:t xml:space="preserve"> Karlova – Pedagogická fakulta 2001. 282 s. ISBN: 80-7290-066-8</w:t>
      </w:r>
      <w:r>
        <w:t>.</w:t>
      </w:r>
    </w:p>
    <w:p w:rsidR="00980204" w:rsidRDefault="00980204" w:rsidP="00980204">
      <w:r w:rsidRPr="00631F08">
        <w:t xml:space="preserve">SLAVÍK, J.; WAWROSZ, P. (2004) </w:t>
      </w:r>
      <w:r w:rsidRPr="00631F08">
        <w:rPr>
          <w:i/>
          <w:iCs/>
        </w:rPr>
        <w:t>Umění zážitku, zážitek umění (teorie a praxe artefiletiky).</w:t>
      </w:r>
      <w:r w:rsidRPr="00631F08">
        <w:t xml:space="preserve"> II. díl. </w:t>
      </w:r>
      <w:proofErr w:type="gramStart"/>
      <w:r w:rsidRPr="00631F08">
        <w:t>Praha : Univerzita</w:t>
      </w:r>
      <w:proofErr w:type="gramEnd"/>
      <w:r w:rsidRPr="00631F08">
        <w:t xml:space="preserve"> Karlova – Pedagogická fakulta 2004. ISBN 80-7290-130-3</w:t>
      </w:r>
      <w:r>
        <w:t xml:space="preserve">. </w:t>
      </w:r>
    </w:p>
    <w:p w:rsidR="00FC7EF0" w:rsidRPr="00FC7EF0" w:rsidRDefault="00FC7EF0" w:rsidP="00FC7EF0">
      <w:r w:rsidRPr="00FC7EF0">
        <w:t>WALTON, K. L. (1992)</w:t>
      </w:r>
      <w:r w:rsidRPr="00FC7EF0">
        <w:rPr>
          <w:i/>
          <w:iCs/>
        </w:rPr>
        <w:t xml:space="preserve"> </w:t>
      </w:r>
      <w:r w:rsidRPr="00FC7EF0">
        <w:rPr>
          <w:i/>
          <w:iCs/>
          <w:lang w:val="en-GB"/>
        </w:rPr>
        <w:t>Mimesis as Make-Believe (on the foundations of the representational arts).</w:t>
      </w:r>
      <w:r w:rsidRPr="00FC7EF0">
        <w:rPr>
          <w:lang w:val="en-GB"/>
        </w:rPr>
        <w:t xml:space="preserve"> </w:t>
      </w:r>
      <w:proofErr w:type="gramStart"/>
      <w:smartTag w:uri="urn:schemas-microsoft-com:office:smarttags" w:element="City">
        <w:r w:rsidRPr="00FC7EF0">
          <w:rPr>
            <w:lang w:val="en-GB"/>
          </w:rPr>
          <w:t>London</w:t>
        </w:r>
      </w:smartTag>
      <w:r w:rsidRPr="00FC7EF0">
        <w:rPr>
          <w:lang w:val="en-GB"/>
        </w:rPr>
        <w:t xml:space="preserve"> :</w:t>
      </w:r>
      <w:proofErr w:type="gramEnd"/>
      <w:r w:rsidRPr="00FC7EF0">
        <w:rPr>
          <w:lang w:val="en-GB"/>
        </w:rPr>
        <w:t xml:space="preserve"> </w:t>
      </w:r>
      <w:smartTag w:uri="urn:schemas-microsoft-com:office:smarttags" w:element="place">
        <w:smartTag w:uri="urn:schemas-microsoft-com:office:smarttags" w:element="PlaceName">
          <w:r w:rsidRPr="00FC7EF0">
            <w:rPr>
              <w:lang w:val="en-GB"/>
            </w:rPr>
            <w:t>Harvard</w:t>
          </w:r>
        </w:smartTag>
        <w:r w:rsidRPr="00FC7EF0">
          <w:rPr>
            <w:lang w:val="en-GB"/>
          </w:rPr>
          <w:t xml:space="preserve"> </w:t>
        </w:r>
        <w:smartTag w:uri="urn:schemas-microsoft-com:office:smarttags" w:element="PlaceType">
          <w:r w:rsidRPr="00FC7EF0">
            <w:rPr>
              <w:lang w:val="en-GB"/>
            </w:rPr>
            <w:t>University</w:t>
          </w:r>
        </w:smartTag>
      </w:smartTag>
      <w:r w:rsidRPr="00FC7EF0">
        <w:rPr>
          <w:lang w:val="en-GB"/>
        </w:rPr>
        <w:t xml:space="preserve"> Press, 1992.</w:t>
      </w:r>
      <w:r w:rsidRPr="00FC7EF0">
        <w:t xml:space="preserve"> ISBN 0-674-57619-5.</w:t>
      </w:r>
    </w:p>
    <w:p w:rsidR="004C0552" w:rsidRDefault="004C0552" w:rsidP="004C0552">
      <w:r>
        <w:rPr>
          <w:iCs/>
        </w:rPr>
        <w:t xml:space="preserve">ZUSKA, V. (2003) </w:t>
      </w:r>
      <w:r w:rsidRPr="003B6347">
        <w:rPr>
          <w:i/>
          <w:iCs/>
        </w:rPr>
        <w:t>Umění, krása, šeredno</w:t>
      </w:r>
      <w:r w:rsidRPr="003B6347">
        <w:t xml:space="preserve">. </w:t>
      </w:r>
      <w:proofErr w:type="gramStart"/>
      <w:r w:rsidRPr="003B6347">
        <w:t>Praha : Karolinum</w:t>
      </w:r>
      <w:proofErr w:type="gramEnd"/>
      <w:r w:rsidRPr="003B6347">
        <w:t>, 2003, s. 77 – 88. ISBN 80-246-0540-6</w:t>
      </w:r>
      <w:r>
        <w:t>.</w:t>
      </w:r>
    </w:p>
    <w:p w:rsidR="00116785" w:rsidRDefault="00116785"/>
    <w:p w:rsidR="006A36EC" w:rsidRDefault="006A36EC">
      <w:r>
        <w:t xml:space="preserve"> </w:t>
      </w:r>
      <w:r w:rsidR="0074398E">
        <w:t xml:space="preserve"> </w:t>
      </w:r>
    </w:p>
    <w:p w:rsidR="006A36EC" w:rsidRDefault="006A36EC" w:rsidP="007C6A91">
      <w:pPr>
        <w:numPr>
          <w:ilvl w:val="0"/>
          <w:numId w:val="20"/>
        </w:numPr>
        <w:ind w:hanging="510"/>
      </w:pPr>
      <w:r>
        <w:t xml:space="preserve">Výtvarná výchova a obecně i výchova </w:t>
      </w:r>
      <w:r w:rsidR="00EC2B38">
        <w:t>u</w:t>
      </w:r>
      <w:r>
        <w:t>měním je součástí systému všeobecného vzdělávání. Proto její</w:t>
      </w:r>
      <w:r w:rsidR="00EC2B38">
        <w:t>mi</w:t>
      </w:r>
      <w:r>
        <w:t xml:space="preserve"> ústředními otázkami j</w:t>
      </w:r>
      <w:r w:rsidR="00EC2B38">
        <w:t>sou</w:t>
      </w:r>
      <w:r>
        <w:t xml:space="preserve"> (a) „</w:t>
      </w:r>
      <w:proofErr w:type="spellStart"/>
      <w:r>
        <w:t>učitelnost</w:t>
      </w:r>
      <w:proofErr w:type="spellEnd"/>
      <w:r>
        <w:t xml:space="preserve">“ </w:t>
      </w:r>
      <w:r w:rsidR="007C6A91">
        <w:t xml:space="preserve">jejích obsahů (má výchova uměním své </w:t>
      </w:r>
      <w:r w:rsidR="007C6A91" w:rsidRPr="00160533">
        <w:rPr>
          <w:b/>
        </w:rPr>
        <w:t>učivo</w:t>
      </w:r>
      <w:r w:rsidR="00A331E6">
        <w:t xml:space="preserve"> a jak je svým žákům zprostředkuje</w:t>
      </w:r>
      <w:r w:rsidR="007C6A91">
        <w:t xml:space="preserve">?) </w:t>
      </w:r>
      <w:r>
        <w:t>a (b) poznávací hodnota</w:t>
      </w:r>
      <w:r w:rsidR="007C6A91">
        <w:t xml:space="preserve"> učiva (</w:t>
      </w:r>
      <w:r w:rsidR="007C6A91" w:rsidRPr="00160533">
        <w:rPr>
          <w:b/>
        </w:rPr>
        <w:t>jaké poznání</w:t>
      </w:r>
      <w:r w:rsidR="007C6A91">
        <w:t xml:space="preserve"> si žák z výchovy uměním odnáší?)</w:t>
      </w:r>
      <w:r>
        <w:t xml:space="preserve">. </w:t>
      </w:r>
      <w:r w:rsidR="00C1039E">
        <w:t>(</w:t>
      </w:r>
      <w:r w:rsidR="00B41C8F">
        <w:t>Srov.</w:t>
      </w:r>
      <w:r w:rsidR="00C1039E" w:rsidRPr="00F526E2">
        <w:rPr>
          <w:b/>
          <w:i/>
        </w:rPr>
        <w:t xml:space="preserve"> </w:t>
      </w:r>
      <w:r w:rsidR="00C1039E" w:rsidRPr="00B41C8F">
        <w:rPr>
          <w:i/>
        </w:rPr>
        <w:t>Rámcové vzdělávací programy</w:t>
      </w:r>
      <w:r w:rsidR="00F526E2" w:rsidRPr="00B41C8F">
        <w:rPr>
          <w:i/>
        </w:rPr>
        <w:t xml:space="preserve"> </w:t>
      </w:r>
      <w:r w:rsidR="00F526E2" w:rsidRPr="00B41C8F">
        <w:t>a jejich koncepci</w:t>
      </w:r>
      <w:r w:rsidR="00C1039E" w:rsidRPr="00B41C8F">
        <w:t>.</w:t>
      </w:r>
      <w:r w:rsidR="00C1039E">
        <w:t>)</w:t>
      </w:r>
    </w:p>
    <w:p w:rsidR="00B41C8F" w:rsidRDefault="00EC2B38" w:rsidP="003108CB">
      <w:pPr>
        <w:numPr>
          <w:ilvl w:val="0"/>
          <w:numId w:val="20"/>
        </w:numPr>
        <w:ind w:hanging="510"/>
      </w:pPr>
      <w:r>
        <w:t>Problém „na/</w:t>
      </w:r>
      <w:proofErr w:type="spellStart"/>
      <w:r>
        <w:t>učitelnosti</w:t>
      </w:r>
      <w:proofErr w:type="spellEnd"/>
      <w:r>
        <w:t xml:space="preserve">“ souvisí se starořeckým pojetím </w:t>
      </w:r>
      <w:r w:rsidRPr="00EC2B38">
        <w:rPr>
          <w:i/>
        </w:rPr>
        <w:t>techné</w:t>
      </w:r>
      <w:r>
        <w:t xml:space="preserve"> – naučitelného vědění</w:t>
      </w:r>
      <w:r w:rsidR="00101AA9">
        <w:t xml:space="preserve"> (Slavík </w:t>
      </w:r>
      <w:r w:rsidR="00631F08">
        <w:t>et al. 1998, s. 2 – 3</w:t>
      </w:r>
      <w:r w:rsidR="00101AA9">
        <w:t xml:space="preserve">, Slavík; Wawrosz 2004, s. </w:t>
      </w:r>
      <w:r w:rsidR="00631F08">
        <w:t>191 – 193</w:t>
      </w:r>
      <w:r w:rsidR="009F2B46">
        <w:t>; zde odkazy na další literaturu</w:t>
      </w:r>
      <w:r w:rsidR="00631F08">
        <w:t>)</w:t>
      </w:r>
      <w:r>
        <w:t xml:space="preserve">. Týká se </w:t>
      </w:r>
      <w:r w:rsidRPr="00EC2B38">
        <w:rPr>
          <w:i/>
        </w:rPr>
        <w:t>výcviku</w:t>
      </w:r>
      <w:r>
        <w:t xml:space="preserve"> v určité </w:t>
      </w:r>
      <w:r w:rsidRPr="00EC2B38">
        <w:rPr>
          <w:i/>
        </w:rPr>
        <w:t>dovednosti</w:t>
      </w:r>
      <w:r>
        <w:t xml:space="preserve"> pro určitý typ situací a v umění bývá dáván do souvislosti s jeho </w:t>
      </w:r>
      <w:r w:rsidRPr="00EC2B38">
        <w:rPr>
          <w:i/>
        </w:rPr>
        <w:t>řemeslnou</w:t>
      </w:r>
      <w:r>
        <w:t xml:space="preserve"> stránkou. </w:t>
      </w:r>
      <w:r w:rsidR="00101AA9">
        <w:t xml:space="preserve">Jeho základem je znalost </w:t>
      </w:r>
      <w:r w:rsidR="006A31E7">
        <w:t xml:space="preserve">předpokládaného </w:t>
      </w:r>
      <w:r w:rsidR="00101AA9" w:rsidRPr="00101AA9">
        <w:rPr>
          <w:i/>
        </w:rPr>
        <w:t>výsledku</w:t>
      </w:r>
      <w:r w:rsidR="00101AA9">
        <w:t xml:space="preserve"> (tj. hotového artefaktu) a znalost </w:t>
      </w:r>
      <w:r w:rsidR="00101AA9" w:rsidRPr="00101AA9">
        <w:rPr>
          <w:i/>
        </w:rPr>
        <w:t>cesty (metody)</w:t>
      </w:r>
      <w:r w:rsidR="00101AA9">
        <w:t xml:space="preserve">, která k tomuto výsledku vede. Příkladem z výtvarné výchovy může být </w:t>
      </w:r>
      <w:r w:rsidR="00B41C8F">
        <w:t xml:space="preserve">kresba podle pravidel úběžníkové perspektivy. </w:t>
      </w:r>
    </w:p>
    <w:p w:rsidR="00B41C8F" w:rsidRDefault="00B41C8F" w:rsidP="00B41C8F">
      <w:pPr>
        <w:numPr>
          <w:ilvl w:val="0"/>
          <w:numId w:val="20"/>
        </w:numPr>
        <w:ind w:hanging="510"/>
      </w:pPr>
      <w:r w:rsidRPr="00101AA9">
        <w:rPr>
          <w:i/>
        </w:rPr>
        <w:t>Techné</w:t>
      </w:r>
      <w:r>
        <w:t xml:space="preserve"> se dá naučit jako </w:t>
      </w:r>
      <w:r w:rsidRPr="00635978">
        <w:rPr>
          <w:i/>
        </w:rPr>
        <w:t>algoritmus</w:t>
      </w:r>
      <w:r>
        <w:t xml:space="preserve">, tj. nejlepší postup k cíli, a to </w:t>
      </w:r>
      <w:r w:rsidRPr="00635978">
        <w:rPr>
          <w:i/>
        </w:rPr>
        <w:t>i bez hlubšího porozumění</w:t>
      </w:r>
      <w:r>
        <w:t xml:space="preserve">. Přesto aktivní účastenství v tomto procesu může přinášet hluboké prožitky, např. i </w:t>
      </w:r>
      <w:r w:rsidRPr="00635978">
        <w:rPr>
          <w:i/>
        </w:rPr>
        <w:t>rituál</w:t>
      </w:r>
      <w:r>
        <w:t xml:space="preserve"> je svého druhu </w:t>
      </w:r>
      <w:r w:rsidRPr="00635978">
        <w:rPr>
          <w:i/>
        </w:rPr>
        <w:t>techné</w:t>
      </w:r>
      <w:r>
        <w:t xml:space="preserve">. Účast v takovém procesu může vést k jeho </w:t>
      </w:r>
      <w:r w:rsidRPr="00635978">
        <w:rPr>
          <w:i/>
        </w:rPr>
        <w:t>pochopení</w:t>
      </w:r>
      <w:r>
        <w:t>, avšak apriorně nevyžaduje </w:t>
      </w:r>
      <w:r w:rsidRPr="00635978">
        <w:rPr>
          <w:i/>
        </w:rPr>
        <w:t>porozumění</w:t>
      </w:r>
      <w:r>
        <w:rPr>
          <w:i/>
        </w:rPr>
        <w:t xml:space="preserve"> </w:t>
      </w:r>
      <w:r w:rsidRPr="00635978">
        <w:t>založené na schopnosti</w:t>
      </w:r>
      <w:r>
        <w:rPr>
          <w:i/>
        </w:rPr>
        <w:t xml:space="preserve"> vysvětlit a zdůvodňovat </w:t>
      </w:r>
      <w:r>
        <w:t xml:space="preserve">to, co bylo zažito (Slavík 1997, s. 27 – 39). </w:t>
      </w:r>
    </w:p>
    <w:p w:rsidR="00B41C8F" w:rsidRDefault="00B41C8F" w:rsidP="00B41C8F">
      <w:pPr>
        <w:numPr>
          <w:ilvl w:val="0"/>
          <w:numId w:val="20"/>
        </w:numPr>
        <w:ind w:hanging="510"/>
      </w:pPr>
      <w:r>
        <w:t xml:space="preserve">Samotné pochopení má </w:t>
      </w:r>
      <w:r w:rsidRPr="00492443">
        <w:rPr>
          <w:i/>
        </w:rPr>
        <w:t>celistvý charakter</w:t>
      </w:r>
      <w:r>
        <w:rPr>
          <w:i/>
        </w:rPr>
        <w:t xml:space="preserve"> </w:t>
      </w:r>
      <w:r>
        <w:t xml:space="preserve">a nelze je analyzovat beze ztráty jeho </w:t>
      </w:r>
      <w:proofErr w:type="gramStart"/>
      <w:r>
        <w:t>vlastního  smyslu</w:t>
      </w:r>
      <w:proofErr w:type="gramEnd"/>
      <w:r>
        <w:t xml:space="preserve">. Analyzované pochopení je jiné než pochopení nepodrobené analýze; má charakter </w:t>
      </w:r>
      <w:r w:rsidRPr="00D71DF3">
        <w:rPr>
          <w:i/>
        </w:rPr>
        <w:t>chápajícího rozumění</w:t>
      </w:r>
      <w:r>
        <w:t xml:space="preserve">, v němž se uvolňuje symbióza vnímatele s předmětem jeho vnímání, aby bylo možné se k předmětu znovu vrátit svou vlastní cestou za pomoci </w:t>
      </w:r>
      <w:r w:rsidRPr="00455497">
        <w:rPr>
          <w:i/>
        </w:rPr>
        <w:t>jazyka interpretace</w:t>
      </w:r>
      <w:r>
        <w:rPr>
          <w:i/>
        </w:rPr>
        <w:t xml:space="preserve"> </w:t>
      </w:r>
      <w:r>
        <w:t xml:space="preserve">(Slavík 1997, s. 49). Naopak porozumění je od počátku analytické. Proto porozumění je podmínkou i výsledkem jakéhokoliv </w:t>
      </w:r>
      <w:r w:rsidRPr="00455497">
        <w:rPr>
          <w:i/>
        </w:rPr>
        <w:t>výzkumu</w:t>
      </w:r>
      <w:r>
        <w:t xml:space="preserve">, ať již kvantitativního nebo kvalitativního, který je vždy založen na hledání a prověřování </w:t>
      </w:r>
      <w:r w:rsidRPr="005A152E">
        <w:rPr>
          <w:i/>
        </w:rPr>
        <w:t>vztahů mezi prvky – proměnnými</w:t>
      </w:r>
      <w:r>
        <w:t xml:space="preserve">. </w:t>
      </w:r>
    </w:p>
    <w:p w:rsidR="00B41C8F" w:rsidRDefault="00B41C8F" w:rsidP="00B41C8F">
      <w:pPr>
        <w:numPr>
          <w:ilvl w:val="0"/>
          <w:numId w:val="20"/>
        </w:numPr>
        <w:ind w:hanging="510"/>
      </w:pPr>
      <w:r>
        <w:t xml:space="preserve">Problém rozdílu mezi porozuměním a pochopením je založen na klíčové, bytostně dané rozdílnosti mezi </w:t>
      </w:r>
      <w:r w:rsidRPr="00160533">
        <w:rPr>
          <w:b/>
        </w:rPr>
        <w:t xml:space="preserve">poznáváním prostřednictvím </w:t>
      </w:r>
      <w:r w:rsidRPr="00160533">
        <w:rPr>
          <w:b/>
          <w:i/>
        </w:rPr>
        <w:t>rozlišování</w:t>
      </w:r>
      <w:r w:rsidRPr="00160533">
        <w:rPr>
          <w:b/>
        </w:rPr>
        <w:t xml:space="preserve"> na podkladě </w:t>
      </w:r>
      <w:r w:rsidRPr="00160533">
        <w:rPr>
          <w:b/>
          <w:i/>
        </w:rPr>
        <w:t>vnějších smyslů</w:t>
      </w:r>
      <w:r>
        <w:t xml:space="preserve"> a </w:t>
      </w:r>
      <w:r>
        <w:lastRenderedPageBreak/>
        <w:t xml:space="preserve">s nimi spjatého </w:t>
      </w:r>
      <w:r w:rsidRPr="00A46A0F">
        <w:rPr>
          <w:i/>
        </w:rPr>
        <w:t>rozumu (intelektu)</w:t>
      </w:r>
      <w:r>
        <w:t xml:space="preserve"> – které vede k poznání </w:t>
      </w:r>
      <w:r w:rsidRPr="008F4021">
        <w:rPr>
          <w:i/>
        </w:rPr>
        <w:t>idejí</w:t>
      </w:r>
      <w:r>
        <w:t xml:space="preserve">, resp. </w:t>
      </w:r>
      <w:proofErr w:type="gramStart"/>
      <w:r w:rsidRPr="008F4021">
        <w:rPr>
          <w:i/>
        </w:rPr>
        <w:t>pojmů</w:t>
      </w:r>
      <w:r>
        <w:t xml:space="preserve">  – a </w:t>
      </w:r>
      <w:r w:rsidRPr="00160533">
        <w:rPr>
          <w:b/>
        </w:rPr>
        <w:t>poznáváním</w:t>
      </w:r>
      <w:proofErr w:type="gramEnd"/>
      <w:r w:rsidRPr="00160533">
        <w:rPr>
          <w:b/>
        </w:rPr>
        <w:t xml:space="preserve"> prostřednictvím „vnitřních smyslů“ – </w:t>
      </w:r>
      <w:r w:rsidRPr="00160533">
        <w:rPr>
          <w:b/>
          <w:i/>
        </w:rPr>
        <w:t>emocí</w:t>
      </w:r>
      <w:r>
        <w:t xml:space="preserve">. V evropské filozofické tradici se jedná o rozlišení mezi </w:t>
      </w:r>
      <w:r w:rsidRPr="003F414F">
        <w:rPr>
          <w:i/>
        </w:rPr>
        <w:t>noéta</w:t>
      </w:r>
      <w:r>
        <w:t xml:space="preserve">, daností intelektu, a </w:t>
      </w:r>
      <w:r w:rsidRPr="003F414F">
        <w:rPr>
          <w:i/>
        </w:rPr>
        <w:t>aisthéta</w:t>
      </w:r>
      <w:r>
        <w:t xml:space="preserve">, daností senzibility. </w:t>
      </w:r>
      <w:r w:rsidRPr="001C5767">
        <w:rPr>
          <w:b/>
        </w:rPr>
        <w:t xml:space="preserve">V pozadí této polarity </w:t>
      </w:r>
      <w:r>
        <w:rPr>
          <w:b/>
        </w:rPr>
        <w:t>stojí</w:t>
      </w:r>
      <w:r w:rsidRPr="001C5767">
        <w:rPr>
          <w:b/>
        </w:rPr>
        <w:t xml:space="preserve"> věčný problém </w:t>
      </w:r>
      <w:r>
        <w:rPr>
          <w:b/>
        </w:rPr>
        <w:t xml:space="preserve">poznávání prostřednictvím </w:t>
      </w:r>
      <w:r w:rsidRPr="001C5767">
        <w:rPr>
          <w:b/>
        </w:rPr>
        <w:t xml:space="preserve">světa-tvorby a </w:t>
      </w:r>
      <w:r>
        <w:rPr>
          <w:b/>
        </w:rPr>
        <w:t xml:space="preserve">souvislosti mezi </w:t>
      </w:r>
      <w:r w:rsidRPr="001C5767">
        <w:rPr>
          <w:b/>
        </w:rPr>
        <w:t>přirozen</w:t>
      </w:r>
      <w:r>
        <w:rPr>
          <w:b/>
        </w:rPr>
        <w:t>ým</w:t>
      </w:r>
      <w:r w:rsidRPr="001C5767">
        <w:rPr>
          <w:b/>
        </w:rPr>
        <w:t xml:space="preserve"> jazyk</w:t>
      </w:r>
      <w:r>
        <w:rPr>
          <w:b/>
        </w:rPr>
        <w:t>em</w:t>
      </w:r>
      <w:r w:rsidRPr="001C5767">
        <w:rPr>
          <w:b/>
        </w:rPr>
        <w:t xml:space="preserve"> a ostatní</w:t>
      </w:r>
      <w:r>
        <w:rPr>
          <w:b/>
        </w:rPr>
        <w:t>mi</w:t>
      </w:r>
      <w:r w:rsidRPr="001C5767">
        <w:rPr>
          <w:b/>
        </w:rPr>
        <w:t xml:space="preserve"> typy výrazových a sdělovacích systémů</w:t>
      </w:r>
      <w:r>
        <w:t xml:space="preserve"> (srov. Goodman; Elgin 1988, Bourriaud 2004).        </w:t>
      </w:r>
    </w:p>
    <w:p w:rsidR="00A66985" w:rsidRDefault="00B41C8F" w:rsidP="00B41C8F">
      <w:pPr>
        <w:ind w:left="360"/>
      </w:pPr>
      <w:r>
        <w:rPr>
          <w:noProof/>
        </w:rPr>
        <w:pict>
          <v:shapetype id="_x0000_t202" coordsize="21600,21600" o:spt="202" path="m,l,21600r21600,l21600,xe">
            <v:stroke joinstyle="miter"/>
            <v:path gradientshapeok="t" o:connecttype="rect"/>
          </v:shapetype>
          <v:shape id="_x0000_s1090" type="#_x0000_t202" style="position:absolute;left:0;text-align:left;margin-left:18.4pt;margin-top:218.35pt;width:65.45pt;height:23.4pt;z-index:2" filled="f" stroked="f">
            <v:textbox style="mso-next-textbox:#_x0000_s1090">
              <w:txbxContent>
                <w:p w:rsidR="00B41C8F" w:rsidRDefault="00B41C8F">
                  <w:r>
                    <w:t>hranatý</w:t>
                  </w:r>
                </w:p>
                <w:p w:rsidR="00B41C8F" w:rsidRDefault="00B41C8F"/>
              </w:txbxContent>
            </v:textbox>
          </v:shape>
        </w:pict>
      </w:r>
      <w:r w:rsidR="00A66985">
        <w:rPr>
          <w:i/>
          <w:noProof/>
        </w:rPr>
      </w:r>
      <w:r w:rsidR="00C942DE">
        <w:pict>
          <v:group id="_x0000_s1027" editas="canvas" style="width:448.8pt;height:444.5pt;mso-position-horizontal-relative:char;mso-position-vertical-relative:line" coordorigin="2735,6056" coordsize="7106,702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2735;top:6056;width:7106;height:7029" o:preferrelative="f">
              <v:fill o:detectmouseclick="t"/>
              <v:path o:extrusionok="t" o:connecttype="none"/>
              <o:lock v:ext="edit" text="t"/>
            </v:shape>
            <v:shape id="_x0000_s1081" type="#_x0000_t202" style="position:absolute;left:8213;top:6156;width:1036;height:402" stroked="f">
              <v:textbox style="mso-next-textbox:#_x0000_s1081">
                <w:txbxContent>
                  <w:p w:rsidR="00A14A21" w:rsidRPr="00A14A21" w:rsidRDefault="00A14A21" w:rsidP="00A14A21">
                    <w:r w:rsidRPr="00A14A21">
                      <w:t>čas t</w:t>
                    </w:r>
                    <w:r w:rsidRPr="00A14A21">
                      <w:rPr>
                        <w:vertAlign w:val="subscript"/>
                      </w:rPr>
                      <w:t>0</w:t>
                    </w:r>
                    <w:r w:rsidRPr="00A14A21">
                      <w:t xml:space="preserve"> </w:t>
                    </w:r>
                    <w:r w:rsidR="00EC0CE0">
                      <w:sym w:font="Symbol" w:char="F0AE"/>
                    </w:r>
                    <w:r w:rsidRPr="00A14A21">
                      <w:t xml:space="preserve"> t</w:t>
                    </w:r>
                    <w:r w:rsidRPr="00A14A21">
                      <w:rPr>
                        <w:vertAlign w:val="subscript"/>
                      </w:rPr>
                      <w:t>n</w:t>
                    </w:r>
                  </w:p>
                  <w:p w:rsidR="00A14A21" w:rsidRDefault="00A14A21"/>
                </w:txbxContent>
              </v:textbox>
            </v:shape>
            <v:shape id="_x0000_s1080" type="#_x0000_t202" style="position:absolute;left:3919;top:6056;width:1037;height:402" stroked="f">
              <v:textbox style="mso-next-textbox:#_x0000_s1080">
                <w:txbxContent>
                  <w:p w:rsidR="00A14A21" w:rsidRDefault="00A14A21">
                    <w:r>
                      <w:t>čas t</w:t>
                    </w:r>
                    <w:r w:rsidRPr="00A14A21">
                      <w:rPr>
                        <w:vertAlign w:val="subscript"/>
                      </w:rPr>
                      <w:t>0</w:t>
                    </w:r>
                    <w:r>
                      <w:t xml:space="preserve"> </w:t>
                    </w:r>
                    <w:r w:rsidR="00EC0CE0">
                      <w:sym w:font="Symbol" w:char="F0AE"/>
                    </w:r>
                    <w:r>
                      <w:t xml:space="preserve"> t</w:t>
                    </w:r>
                    <w:r w:rsidRPr="00A14A21">
                      <w:rPr>
                        <w:vertAlign w:val="subscript"/>
                      </w:rPr>
                      <w:t>n</w:t>
                    </w:r>
                  </w:p>
                </w:txbxContent>
              </v:textbox>
            </v:shape>
            <v:oval id="_x0000_s1028" style="position:absolute;left:2735;top:6960;width:1036;height:1104"/>
            <v:oval id="_x0000_s1034" style="position:absolute;left:3919;top:6960;width:1037;height:1105"/>
            <v:oval id="_x0000_s1035" style="position:absolute;left:5104;top:6960;width:1035;height:1104"/>
            <v:oval id="_x0000_s1037" style="position:absolute;left:6436;top:7060;width:1036;height:1105"/>
            <v:oval id="_x0000_s1038" style="position:absolute;left:7620;top:7060;width:1037;height:1105"/>
            <v:oval id="_x0000_s1039" style="position:absolute;left:8805;top:7060;width:1036;height:1105"/>
            <v:line id="_x0000_s1040" style="position:absolute" from="6288,7361" to="6288,9068">
              <v:stroke dashstyle="dash"/>
            </v:line>
            <v:rect id="_x0000_s1041" style="position:absolute;left:3031;top:9872;width:740;height:701"/>
            <v:oval id="_x0000_s1042" style="position:absolute;left:4808;top:9872;width:739;height:701">
              <o:lock v:ext="edit" aspectratio="t"/>
            </v:oval>
            <v:rect id="_x0000_s1043" style="position:absolute;left:4067;top:8968;width:741;height:701"/>
            <v:rect id="_x0000_s1044" style="position:absolute;left:2883;top:7361;width:296;height:301"/>
            <v:rect id="_x0000_s1045" style="position:absolute;left:4067;top:7361;width:298;height:300"/>
            <v:rect id="_x0000_s1046" style="position:absolute;left:5252;top:7462;width:296;height:302"/>
            <v:shapetype id="_x0000_t32" coordsize="21600,21600" o:spt="32" o:oned="t" path="m,l21600,21600e" filled="f">
              <v:path arrowok="t" fillok="f" o:connecttype="none"/>
              <o:lock v:ext="edit" shapetype="t"/>
            </v:shapetype>
            <v:shape id="_x0000_s1047" type="#_x0000_t32" style="position:absolute;left:3031;top:7662;width:1407;height:1306" o:connectortype="straight">
              <v:stroke startarrow="block"/>
            </v:shape>
            <v:shape id="_x0000_s1048" type="#_x0000_t32" style="position:absolute;left:4216;top:7661;width:222;height:1307" o:connectortype="straight">
              <v:stroke startarrow="block"/>
            </v:shape>
            <v:shape id="_x0000_s1049" type="#_x0000_t32" style="position:absolute;left:4438;top:7764;width:962;height:1204;flip:x" o:connectortype="straight">
              <v:stroke startarrow="block"/>
            </v:shape>
            <v:oval id="_x0000_s1050" style="position:absolute;left:3327;top:7361;width:296;height:302"/>
            <v:oval id="_x0000_s1051" style="position:absolute;left:4512;top:7361;width:296;height:302"/>
            <v:oval id="_x0000_s1052" style="position:absolute;left:5696;top:7462;width:296;height:302"/>
            <v:shape id="_x0000_s1053" type="#_x0000_t202" style="position:absolute;left:7028;top:9972;width:444;height:502">
              <v:textbox style="mso-next-textbox:#_x0000_s1053">
                <w:txbxContent>
                  <w:p w:rsidR="0084521B" w:rsidRPr="0084521B" w:rsidRDefault="0084521B" w:rsidP="00B849DE">
                    <w:pPr>
                      <w:rPr>
                        <w:rFonts w:ascii="Arial Black" w:hAnsi="Arial Black"/>
                        <w:sz w:val="32"/>
                        <w:szCs w:val="32"/>
                      </w:rPr>
                    </w:pPr>
                    <w:r w:rsidRPr="0084521B">
                      <w:rPr>
                        <w:rFonts w:ascii="Arial Black" w:hAnsi="Arial Black"/>
                        <w:sz w:val="32"/>
                        <w:szCs w:val="32"/>
                      </w:rPr>
                      <w:t>+</w:t>
                    </w:r>
                  </w:p>
                </w:txbxContent>
              </v:textbox>
            </v:shape>
            <v:shape id="_x0000_s1054" type="#_x0000_t202" style="position:absolute;left:8953;top:9972;width:296;height:502">
              <v:textbox style="mso-next-textbox:#_x0000_s1054">
                <w:txbxContent>
                  <w:p w:rsidR="0084521B" w:rsidRPr="0084521B" w:rsidRDefault="00B849DE" w:rsidP="00B849DE">
                    <w:pPr>
                      <w:rPr>
                        <w:rFonts w:ascii="Arial Black" w:hAnsi="Arial Black"/>
                        <w:sz w:val="32"/>
                        <w:szCs w:val="32"/>
                      </w:rPr>
                    </w:pPr>
                    <w:r>
                      <w:rPr>
                        <w:rFonts w:ascii="Arial Black" w:hAnsi="Arial Black"/>
                        <w:sz w:val="32"/>
                        <w:szCs w:val="32"/>
                      </w:rPr>
                      <w:t xml:space="preserve">- </w:t>
                    </w:r>
                  </w:p>
                  <w:p w:rsidR="0084521B" w:rsidRDefault="0084521B" w:rsidP="00B849DE"/>
                </w:txbxContent>
              </v:textbox>
            </v:shape>
            <v:rect id="_x0000_s1055" style="position:absolute;left:7768;top:9169;width:741;height:701"/>
            <v:shape id="_x0000_s1056" type="#_x0000_t202" style="position:absolute;left:6584;top:7361;width:444;height:502">
              <v:textbox style="mso-next-textbox:#_x0000_s1056">
                <w:txbxContent>
                  <w:p w:rsidR="00B849DE" w:rsidRPr="0084521B" w:rsidRDefault="00B849DE" w:rsidP="00B849DE">
                    <w:pPr>
                      <w:rPr>
                        <w:rFonts w:ascii="Arial Black" w:hAnsi="Arial Black"/>
                        <w:sz w:val="32"/>
                        <w:szCs w:val="32"/>
                      </w:rPr>
                    </w:pPr>
                    <w:r w:rsidRPr="0084521B">
                      <w:rPr>
                        <w:rFonts w:ascii="Arial Black" w:hAnsi="Arial Black"/>
                        <w:sz w:val="32"/>
                        <w:szCs w:val="32"/>
                      </w:rPr>
                      <w:t>+</w:t>
                    </w:r>
                  </w:p>
                  <w:p w:rsidR="00B849DE" w:rsidRDefault="00B849DE"/>
                </w:txbxContent>
              </v:textbox>
            </v:shape>
            <v:shape id="_x0000_s1057" type="#_x0000_t202" style="position:absolute;left:7028;top:7361;width:296;height:302">
              <v:textbox style="mso-next-textbox:#_x0000_s1057">
                <w:txbxContent>
                  <w:p w:rsidR="00B849DE" w:rsidRPr="00B849DE" w:rsidRDefault="00B849DE">
                    <w:pPr>
                      <w:rPr>
                        <w:b/>
                      </w:rPr>
                    </w:pPr>
                    <w:r w:rsidRPr="00B849DE">
                      <w:rPr>
                        <w:b/>
                      </w:rPr>
                      <w:t>-</w:t>
                    </w:r>
                  </w:p>
                </w:txbxContent>
              </v:textbox>
            </v:shape>
            <v:shape id="_x0000_s1058" type="#_x0000_t202" style="position:absolute;left:7768;top:7361;width:299;height:301">
              <v:textbox style="mso-next-textbox:#_x0000_s1058">
                <w:txbxContent>
                  <w:p w:rsidR="00B849DE" w:rsidRDefault="00B849DE">
                    <w:r>
                      <w:t>+</w:t>
                    </w:r>
                  </w:p>
                </w:txbxContent>
              </v:textbox>
            </v:shape>
            <v:shape id="_x0000_s1059" type="#_x0000_t202" style="position:absolute;left:8065;top:7361;width:443;height:502">
              <v:textbox style="mso-next-textbox:#_x0000_s1059">
                <w:txbxContent>
                  <w:p w:rsidR="00B849DE" w:rsidRDefault="00B849DE">
                    <w:r>
                      <w:rPr>
                        <w:rFonts w:ascii="Arial Black" w:hAnsi="Arial Black"/>
                        <w:sz w:val="32"/>
                        <w:szCs w:val="32"/>
                      </w:rPr>
                      <w:t>-</w:t>
                    </w:r>
                  </w:p>
                </w:txbxContent>
              </v:textbox>
            </v:shape>
            <v:shape id="_x0000_s1060" type="#_x0000_t202" style="position:absolute;left:8953;top:7361;width:444;height:502">
              <v:textbox style="mso-next-textbox:#_x0000_s1060">
                <w:txbxContent>
                  <w:p w:rsidR="00B849DE" w:rsidRPr="0084521B" w:rsidRDefault="00B849DE" w:rsidP="00B849DE">
                    <w:pPr>
                      <w:rPr>
                        <w:rFonts w:ascii="Arial Black" w:hAnsi="Arial Black"/>
                        <w:sz w:val="32"/>
                        <w:szCs w:val="32"/>
                      </w:rPr>
                    </w:pPr>
                    <w:r w:rsidRPr="0084521B">
                      <w:rPr>
                        <w:rFonts w:ascii="Arial Black" w:hAnsi="Arial Black"/>
                        <w:sz w:val="32"/>
                        <w:szCs w:val="32"/>
                      </w:rPr>
                      <w:t>+</w:t>
                    </w:r>
                  </w:p>
                  <w:p w:rsidR="00B849DE" w:rsidRDefault="00B849DE"/>
                </w:txbxContent>
              </v:textbox>
            </v:shape>
            <v:shape id="_x0000_s1061" type="#_x0000_t202" style="position:absolute;left:9397;top:7361;width:296;height:302">
              <v:textbox style="mso-next-textbox:#_x0000_s1061">
                <w:txbxContent>
                  <w:p w:rsidR="00B849DE" w:rsidRDefault="00B849DE">
                    <w:r>
                      <w:t xml:space="preserve">- </w:t>
                    </w:r>
                  </w:p>
                </w:txbxContent>
              </v:textbox>
            </v:shape>
            <v:shape id="_x0000_s1062" type="#_x0000_t32" style="position:absolute;left:7320;top:8003;width:818;height:1166" o:connectortype="straight">
              <v:stroke startarrow="block"/>
            </v:shape>
            <v:shape id="_x0000_s1063" type="#_x0000_t32" style="position:absolute;left:8138;top:8165;width:1;height:1004;flip:x" o:connectortype="straight">
              <v:stroke startarrow="block"/>
            </v:shape>
            <v:shape id="_x0000_s1064" type="#_x0000_t32" style="position:absolute;left:8138;top:8003;width:819;height:1166;flip:y" o:connectortype="straight">
              <v:stroke endarrow="block"/>
            </v:shape>
            <v:shape id="_x0000_s1065" type="#_x0000_t202" style="position:absolute;left:2735;top:10675;width:7106;height:2209">
              <v:textbox style="mso-next-textbox:#_x0000_s1065">
                <w:txbxContent>
                  <w:p w:rsidR="00066AEE" w:rsidRDefault="008F4E15">
                    <w:r w:rsidRPr="008F4E15">
                      <w:rPr>
                        <w:b/>
                      </w:rPr>
                      <w:t>Obr. 1</w:t>
                    </w:r>
                    <w:r>
                      <w:t xml:space="preserve">) </w:t>
                    </w:r>
                    <w:r w:rsidR="00CE3C92">
                      <w:t>„</w:t>
                    </w:r>
                    <w:r w:rsidR="00F752AE">
                      <w:t xml:space="preserve">Malý </w:t>
                    </w:r>
                    <w:r w:rsidR="00CE3C92">
                      <w:t xml:space="preserve">Svět“ se třemi bytostmi, dvěma </w:t>
                    </w:r>
                    <w:r w:rsidR="001F1D94">
                      <w:t xml:space="preserve">smyslovými jevy a čtyřmi </w:t>
                    </w:r>
                    <w:r w:rsidR="00FE5FFF">
                      <w:t>roz</w:t>
                    </w:r>
                    <w:r w:rsidR="00B01480">
                      <w:t>poznávan</w:t>
                    </w:r>
                    <w:r w:rsidR="00FE5FFF">
                      <w:t xml:space="preserve">ými </w:t>
                    </w:r>
                    <w:r w:rsidR="001F1D94">
                      <w:t>vlastnostmi</w:t>
                    </w:r>
                    <w:r w:rsidR="00CE3C92">
                      <w:t xml:space="preserve"> (hranatý, kulatý</w:t>
                    </w:r>
                    <w:r w:rsidR="001F1D94">
                      <w:t xml:space="preserve">, </w:t>
                    </w:r>
                    <w:r w:rsidR="00CE3C92" w:rsidRPr="001F1D94">
                      <w:rPr>
                        <w:i/>
                      </w:rPr>
                      <w:t>krásný, ošklivý</w:t>
                    </w:r>
                    <w:r w:rsidR="00CE3C92">
                      <w:t xml:space="preserve">), mezi nimiž tyto bytosti dokážou spolehlivě rozlišovat. </w:t>
                    </w:r>
                  </w:p>
                  <w:p w:rsidR="00066AEE" w:rsidRDefault="001F1D94">
                    <w:r>
                      <w:t xml:space="preserve">Vlastnosti „hranatý“ a „kulatý“ jsou rozlišovány vnějšími smysly, </w:t>
                    </w:r>
                    <w:r w:rsidR="00066AEE">
                      <w:t xml:space="preserve">přičemž toto rozlišení je nutnou i dostačující podmínkou pro konečné přiřazení vlastnosti vůči vnímanému předmětu. </w:t>
                    </w:r>
                  </w:p>
                  <w:p w:rsidR="00B849DE" w:rsidRDefault="00066AEE">
                    <w:r>
                      <w:t>V</w:t>
                    </w:r>
                    <w:r w:rsidR="001F1D94">
                      <w:t xml:space="preserve">lastnosti </w:t>
                    </w:r>
                    <w:r w:rsidR="001F1D94" w:rsidRPr="001F1D94">
                      <w:rPr>
                        <w:i/>
                      </w:rPr>
                      <w:t>krásný</w:t>
                    </w:r>
                    <w:r w:rsidR="001F1D94">
                      <w:rPr>
                        <w:i/>
                      </w:rPr>
                      <w:t xml:space="preserve"> </w:t>
                    </w:r>
                    <w:r w:rsidR="001F1D94">
                      <w:t>a</w:t>
                    </w:r>
                    <w:r w:rsidR="001F1D94" w:rsidRPr="001F1D94">
                      <w:rPr>
                        <w:i/>
                      </w:rPr>
                      <w:t xml:space="preserve"> ošklivý</w:t>
                    </w:r>
                    <w:r w:rsidR="001F1D94">
                      <w:t xml:space="preserve"> jsou sice závislé na „vnějším“ smyslovém rozlišení, ale </w:t>
                    </w:r>
                    <w:r w:rsidR="00116A59" w:rsidRPr="00160533">
                      <w:rPr>
                        <w:b/>
                      </w:rPr>
                      <w:t>toto rozlišení není dostačující podmínkou ke konečnému přiřazení vlastnosti vůči vnímanému předmětu</w:t>
                    </w:r>
                    <w:r w:rsidR="00116A59">
                      <w:t xml:space="preserve">. </w:t>
                    </w:r>
                    <w:r w:rsidR="00A14A21">
                      <w:t xml:space="preserve">Tento soud není </w:t>
                    </w:r>
                    <w:r w:rsidR="00A14A21" w:rsidRPr="00E97FD5">
                      <w:rPr>
                        <w:i/>
                      </w:rPr>
                      <w:t xml:space="preserve">ani </w:t>
                    </w:r>
                    <w:r w:rsidR="008F4E15" w:rsidRPr="00E97FD5">
                      <w:rPr>
                        <w:i/>
                      </w:rPr>
                      <w:t>plně objektivní</w:t>
                    </w:r>
                    <w:r w:rsidR="008F4E15">
                      <w:t xml:space="preserve"> (neshoduje se mezi různými pozorovateli téhož), </w:t>
                    </w:r>
                    <w:r w:rsidR="008F4E15" w:rsidRPr="00E97FD5">
                      <w:rPr>
                        <w:i/>
                      </w:rPr>
                      <w:t>ani stabilní v čase</w:t>
                    </w:r>
                    <w:r w:rsidR="008F4E15">
                      <w:t xml:space="preserve"> (není shodný v různých dobách u téhož pozorovatele). </w:t>
                    </w:r>
                    <w:r w:rsidR="00116A59">
                      <w:t xml:space="preserve">  </w:t>
                    </w:r>
                    <w:r w:rsidR="001F1D94">
                      <w:t xml:space="preserve"> </w:t>
                    </w:r>
                  </w:p>
                </w:txbxContent>
              </v:textbox>
            </v:shape>
            <v:shape id="_x0000_s1067" type="#_x0000_t32" style="position:absolute;left:3324;top:6658;width:295;height:464;flip:x y" o:connectortype="straight"/>
            <v:shape id="_x0000_s1068" type="#_x0000_t32" style="position:absolute;left:3324;top:6658;width:1114;height:302;flip:x y" o:connectortype="straight"/>
            <v:shape id="_x0000_s1069" type="#_x0000_t32" style="position:absolute;left:3324;top:6658;width:2297;height:302;flip:x y" o:connectortype="straight"/>
            <v:shape id="_x0000_s1070" type="#_x0000_t202" style="position:absolute;left:2735;top:6257;width:1178;height:401">
              <v:textbox style="mso-next-textbox:#_x0000_s1070">
                <w:txbxContent>
                  <w:p w:rsidR="00041E44" w:rsidRDefault="00041E44">
                    <w:r>
                      <w:t>HRANATÝ</w:t>
                    </w:r>
                  </w:p>
                </w:txbxContent>
              </v:textbox>
            </v:shape>
            <v:shape id="_x0000_s1071" type="#_x0000_t202" style="position:absolute;left:6436;top:6357;width:1777;height:402">
              <v:textbox style="mso-next-textbox:#_x0000_s1071">
                <w:txbxContent>
                  <w:p w:rsidR="00041E44" w:rsidRDefault="00041E44">
                    <w:r w:rsidRPr="00041E44">
                      <w:rPr>
                        <w:sz w:val="24"/>
                        <w:szCs w:val="24"/>
                      </w:rPr>
                      <w:t>krásný</w:t>
                    </w:r>
                    <w:r>
                      <w:rPr>
                        <w:sz w:val="32"/>
                        <w:szCs w:val="32"/>
                      </w:rPr>
                      <w:t xml:space="preserve"> </w:t>
                    </w:r>
                    <w:r w:rsidRPr="00D33FC7">
                      <w:rPr>
                        <w:sz w:val="32"/>
                        <w:szCs w:val="32"/>
                      </w:rPr>
                      <w:t>?</w:t>
                    </w:r>
                    <w:r>
                      <w:rPr>
                        <w:sz w:val="32"/>
                        <w:szCs w:val="32"/>
                      </w:rPr>
                      <w:t xml:space="preserve">? </w:t>
                    </w:r>
                    <w:proofErr w:type="gramStart"/>
                    <w:r w:rsidR="007539F0">
                      <w:rPr>
                        <w:sz w:val="24"/>
                        <w:szCs w:val="24"/>
                      </w:rPr>
                      <w:t>ošklivý</w:t>
                    </w:r>
                    <w:proofErr w:type="gramEnd"/>
                  </w:p>
                </w:txbxContent>
              </v:textbox>
            </v:shape>
            <v:shape id="_x0000_s1072" type="#_x0000_t32" style="position:absolute;left:7320;top:6759;width:5;height:463;flip:y" o:connectortype="straight"/>
            <v:shape id="_x0000_s1073" type="#_x0000_t32" style="position:absolute;left:7325;top:6759;width:814;height:301;flip:x y" o:connectortype="straight"/>
            <v:shape id="_x0000_s1074" type="#_x0000_t32" style="position:absolute;left:7325;top:6759;width:1632;height:463" o:connectortype="straight"/>
            <v:shape id="_x0000_s1075" type="#_x0000_t202" style="position:absolute;left:5104;top:6257;width:1184;height:401">
              <v:textbox style="mso-next-textbox:#_x0000_s1075">
                <w:txbxContent>
                  <w:p w:rsidR="006B5D08" w:rsidRDefault="006B5D08" w:rsidP="006B5D08">
                    <w:r>
                      <w:t>HRANATÝ</w:t>
                    </w:r>
                  </w:p>
                  <w:p w:rsidR="006B5D08" w:rsidRDefault="006B5D08"/>
                </w:txbxContent>
              </v:textbox>
            </v:shape>
            <v:shape id="_x0000_s1076" type="#_x0000_t32" style="position:absolute;left:3913;top:6458;width:1191;height:1" o:connectortype="straight">
              <v:stroke endarrow="block"/>
            </v:shape>
            <v:shape id="_x0000_s1077" type="#_x0000_t202" style="position:absolute;left:9249;top:6357;width:592;height:402">
              <v:textbox style="mso-next-textbox:#_x0000_s1077">
                <w:txbxContent>
                  <w:p w:rsidR="006B5D08" w:rsidRDefault="006B5D08">
                    <w:r w:rsidRPr="00D33FC7">
                      <w:rPr>
                        <w:sz w:val="32"/>
                        <w:szCs w:val="32"/>
                      </w:rPr>
                      <w:t>?</w:t>
                    </w:r>
                    <w:r>
                      <w:rPr>
                        <w:sz w:val="32"/>
                        <w:szCs w:val="32"/>
                      </w:rPr>
                      <w:t>??</w:t>
                    </w:r>
                  </w:p>
                </w:txbxContent>
              </v:textbox>
            </v:shape>
            <v:shape id="_x0000_s1078" type="#_x0000_t32" style="position:absolute;left:8213;top:6558;width:1036;height:1" o:connectortype="straight">
              <v:stroke endarrow="block"/>
            </v:shape>
            <v:shape id="_x0000_s1085" type="#_x0000_t202" style="position:absolute;left:4956;top:9470;width:1036;height:401" filled="f" stroked="f">
              <v:textbox style="mso-next-textbox:#_x0000_s1085">
                <w:txbxContent>
                  <w:p w:rsidR="000711C0" w:rsidRDefault="000711C0">
                    <w:r>
                      <w:t>kulatý</w:t>
                    </w:r>
                  </w:p>
                </w:txbxContent>
              </v:textbox>
            </v:shape>
            <v:shape id="_x0000_s1086" type="#_x0000_t202" style="position:absolute;left:3771;top:8265;width:1332;height:502">
              <v:textbox style="mso-next-textbox:#_x0000_s1086">
                <w:txbxContent>
                  <w:p w:rsidR="000711C0" w:rsidRDefault="00B042D2">
                    <w:r>
                      <w:t>J</w:t>
                    </w:r>
                    <w:r w:rsidR="000711C0">
                      <w:t xml:space="preserve">e to hranaté, nebo kulaté? </w:t>
                    </w:r>
                  </w:p>
                </w:txbxContent>
              </v:textbox>
            </v:shape>
            <v:shape id="_x0000_s1087" type="#_x0000_t202" style="position:absolute;left:7472;top:8466;width:1481;height:502">
              <v:textbox style="mso-next-textbox:#_x0000_s1087">
                <w:txbxContent>
                  <w:p w:rsidR="000711C0" w:rsidRDefault="00B042D2">
                    <w:r>
                      <w:t>J</w:t>
                    </w:r>
                    <w:r w:rsidR="000711C0">
                      <w:t xml:space="preserve">e to krásné, nebo ošklivé? </w:t>
                    </w:r>
                  </w:p>
                </w:txbxContent>
              </v:textbox>
            </v:shape>
            <v:shape id="_x0000_s1088" type="#_x0000_t202" style="position:absolute;left:6732;top:9570;width:888;height:402" filled="f" stroked="f">
              <v:textbox style="mso-next-textbox:#_x0000_s1088">
                <w:txbxContent>
                  <w:p w:rsidR="000711C0" w:rsidRDefault="000711C0">
                    <w:r>
                      <w:t>krásný</w:t>
                    </w:r>
                  </w:p>
                </w:txbxContent>
              </v:textbox>
            </v:shape>
            <v:shape id="_x0000_s1089" type="#_x0000_t202" style="position:absolute;left:8657;top:9671;width:1036;height:301" filled="f" stroked="f">
              <v:textbox style="mso-next-textbox:#_x0000_s1089">
                <w:txbxContent>
                  <w:p w:rsidR="00F526E2" w:rsidRDefault="00F526E2">
                    <w:r>
                      <w:t xml:space="preserve">ošklivý </w:t>
                    </w:r>
                  </w:p>
                </w:txbxContent>
              </v:textbox>
            </v:shape>
            <w10:anchorlock/>
          </v:group>
        </w:pict>
      </w:r>
    </w:p>
    <w:p w:rsidR="008F4E15" w:rsidRDefault="008F4E15" w:rsidP="00E90EC2">
      <w:pPr>
        <w:numPr>
          <w:ilvl w:val="0"/>
          <w:numId w:val="20"/>
        </w:numPr>
        <w:ind w:hanging="510"/>
      </w:pPr>
      <w:r>
        <w:t xml:space="preserve">Jde o to, do jaké míry se lze na to či ono poznávání </w:t>
      </w:r>
      <w:r w:rsidRPr="00410E76">
        <w:rPr>
          <w:i/>
        </w:rPr>
        <w:t>spolehnout</w:t>
      </w:r>
      <w:r>
        <w:t xml:space="preserve"> ve smyslu (a) postačující </w:t>
      </w:r>
      <w:r w:rsidRPr="00410E76">
        <w:rPr>
          <w:i/>
        </w:rPr>
        <w:t>stability</w:t>
      </w:r>
      <w:r>
        <w:rPr>
          <w:i/>
        </w:rPr>
        <w:t xml:space="preserve"> </w:t>
      </w:r>
      <w:r>
        <w:t xml:space="preserve">(tj. stálosti v čase), která zajišťuje možnost </w:t>
      </w:r>
      <w:r w:rsidRPr="00410E76">
        <w:rPr>
          <w:i/>
        </w:rPr>
        <w:t>predikc</w:t>
      </w:r>
      <w:r>
        <w:rPr>
          <w:i/>
        </w:rPr>
        <w:t xml:space="preserve">e </w:t>
      </w:r>
      <w:r>
        <w:t xml:space="preserve">z toho, co je již poznáno, (b) postačující </w:t>
      </w:r>
      <w:r w:rsidRPr="00410E76">
        <w:rPr>
          <w:i/>
        </w:rPr>
        <w:t>objektivity</w:t>
      </w:r>
      <w:r>
        <w:rPr>
          <w:i/>
        </w:rPr>
        <w:t xml:space="preserve"> </w:t>
      </w:r>
      <w:r>
        <w:t xml:space="preserve">(tj. nezávislosti na subjektivním mínění), která zajišťuje možnost vzájemné </w:t>
      </w:r>
      <w:r w:rsidRPr="00B94C99">
        <w:rPr>
          <w:i/>
        </w:rPr>
        <w:t>shody mezi lidmi</w:t>
      </w:r>
      <w:r>
        <w:t xml:space="preserve"> i možnost jejich vzájemného </w:t>
      </w:r>
      <w:r w:rsidRPr="00B94C99">
        <w:rPr>
          <w:i/>
        </w:rPr>
        <w:t>dorozumění</w:t>
      </w:r>
      <w:r>
        <w:t xml:space="preserve">. </w:t>
      </w:r>
      <w:r w:rsidR="00B94C99">
        <w:t>Názornou ukázkou problémů, které jsou spjaté s výše uvedeným rozdílem mezi smyslovým a emocionálním poznáváním, je výše uvedený obrázek</w:t>
      </w:r>
      <w:r w:rsidR="00E97FD5">
        <w:t xml:space="preserve"> 1</w:t>
      </w:r>
      <w:r w:rsidR="00B94C99">
        <w:t xml:space="preserve">. </w:t>
      </w:r>
      <w:r w:rsidR="00682BB5">
        <w:t xml:space="preserve">Mohli bychom v tomto smyslu mluvit </w:t>
      </w:r>
      <w:r w:rsidR="00682BB5" w:rsidRPr="00160533">
        <w:rPr>
          <w:b/>
        </w:rPr>
        <w:t>o problému „dvojího poznání“.</w:t>
      </w:r>
      <w:r w:rsidR="00682BB5">
        <w:t xml:space="preserve"> </w:t>
      </w:r>
    </w:p>
    <w:p w:rsidR="00E90EC2" w:rsidRDefault="00682BB5" w:rsidP="00E90EC2">
      <w:pPr>
        <w:numPr>
          <w:ilvl w:val="0"/>
          <w:numId w:val="20"/>
        </w:numPr>
        <w:ind w:hanging="510"/>
      </w:pPr>
      <w:r>
        <w:t>P</w:t>
      </w:r>
      <w:r w:rsidR="008F4E15">
        <w:t xml:space="preserve">roblém </w:t>
      </w:r>
      <w:r>
        <w:t xml:space="preserve">„dvojího poznání“ </w:t>
      </w:r>
      <w:r w:rsidR="008F4E15">
        <w:t xml:space="preserve">se </w:t>
      </w:r>
      <w:r w:rsidR="00A04F95">
        <w:t xml:space="preserve">v historii evropské vzdělanosti </w:t>
      </w:r>
      <w:r w:rsidR="008F4E15">
        <w:t xml:space="preserve">objevil </w:t>
      </w:r>
      <w:r w:rsidR="00A04F95">
        <w:t xml:space="preserve">v </w:t>
      </w:r>
      <w:r w:rsidR="008F4E15">
        <w:t xml:space="preserve">souvislosti </w:t>
      </w:r>
      <w:r w:rsidR="00A04F95">
        <w:t>s obratem k </w:t>
      </w:r>
      <w:r w:rsidR="00A04F95" w:rsidRPr="00A04F95">
        <w:rPr>
          <w:i/>
        </w:rPr>
        <w:t>racionálnímu zdůvodňování</w:t>
      </w:r>
      <w:r w:rsidR="00A04F95">
        <w:t xml:space="preserve"> založenému na </w:t>
      </w:r>
      <w:r w:rsidR="00A04F95" w:rsidRPr="00A04F95">
        <w:rPr>
          <w:i/>
        </w:rPr>
        <w:t>pozorování</w:t>
      </w:r>
      <w:r w:rsidR="00A04F95">
        <w:rPr>
          <w:i/>
        </w:rPr>
        <w:t xml:space="preserve">, </w:t>
      </w:r>
      <w:r w:rsidR="00A04F95" w:rsidRPr="00A04F95">
        <w:t>souvisí s rozvojem</w:t>
      </w:r>
      <w:r w:rsidR="00A04F95">
        <w:rPr>
          <w:i/>
        </w:rPr>
        <w:t xml:space="preserve"> přírodních věd </w:t>
      </w:r>
      <w:r w:rsidR="00A04F95">
        <w:t>a byl důležitým tématem filozofie již v 17. a 18. století (René Descartes</w:t>
      </w:r>
      <w:r w:rsidR="007C13BC">
        <w:t xml:space="preserve"> 1596 – 1650</w:t>
      </w:r>
      <w:r w:rsidR="00A04F95">
        <w:t xml:space="preserve">, </w:t>
      </w:r>
      <w:proofErr w:type="spellStart"/>
      <w:r w:rsidR="00A04F95">
        <w:t>Benedictus</w:t>
      </w:r>
      <w:proofErr w:type="spellEnd"/>
      <w:r w:rsidR="00A04F95">
        <w:t xml:space="preserve"> de Spinoza</w:t>
      </w:r>
      <w:r w:rsidR="007C13BC">
        <w:t xml:space="preserve"> 1632 – 1677</w:t>
      </w:r>
      <w:r w:rsidR="00A04F95">
        <w:t>, John Locke</w:t>
      </w:r>
      <w:r w:rsidR="007C13BC">
        <w:t xml:space="preserve"> 1632 – 1704</w:t>
      </w:r>
      <w:r w:rsidR="00A04F95">
        <w:t xml:space="preserve">, </w:t>
      </w:r>
      <w:r w:rsidR="007C13BC">
        <w:t xml:space="preserve">Gottfried Wilhelm Leibniz 1646 – 1716, a d.). </w:t>
      </w:r>
      <w:r w:rsidR="00352FFD">
        <w:t xml:space="preserve">Mimochodem, jedná se o jeden ze základních problémů v pozadí „boje“ mezi přírodními a </w:t>
      </w:r>
      <w:r w:rsidR="00352FFD">
        <w:lastRenderedPageBreak/>
        <w:t xml:space="preserve">humanitními vědami (srov. Giddensova dvojí hermeneutika a </w:t>
      </w:r>
      <w:proofErr w:type="spellStart"/>
      <w:r w:rsidR="00352FFD" w:rsidRPr="00352FFD">
        <w:rPr>
          <w:i/>
        </w:rPr>
        <w:t>slippage</w:t>
      </w:r>
      <w:proofErr w:type="spellEnd"/>
      <w:r w:rsidR="00352FFD">
        <w:t xml:space="preserve"> pojmů mezi rovinami diskurzu). </w:t>
      </w:r>
      <w:r w:rsidR="007C13BC">
        <w:t xml:space="preserve"> </w:t>
      </w:r>
      <w:r w:rsidR="00A04F95">
        <w:t xml:space="preserve"> </w:t>
      </w:r>
      <w:r w:rsidR="00E90EC2">
        <w:rPr>
          <w:i/>
        </w:rPr>
        <w:t xml:space="preserve"> </w:t>
      </w:r>
      <w:r w:rsidR="00E90EC2">
        <w:t xml:space="preserve">    </w:t>
      </w:r>
    </w:p>
    <w:p w:rsidR="008F4021" w:rsidRDefault="00682BB5" w:rsidP="00E90EC2">
      <w:pPr>
        <w:numPr>
          <w:ilvl w:val="0"/>
          <w:numId w:val="20"/>
        </w:numPr>
        <w:ind w:hanging="510"/>
      </w:pPr>
      <w:r>
        <w:t xml:space="preserve">Problém „dvojího poznání“ se </w:t>
      </w:r>
      <w:r w:rsidR="003F414F">
        <w:t xml:space="preserve">mezi lety 1735 – 1758 stal východiskem pro </w:t>
      </w:r>
      <w:r w:rsidR="00A46A0F">
        <w:t xml:space="preserve">Alexandra </w:t>
      </w:r>
      <w:proofErr w:type="spellStart"/>
      <w:r w:rsidR="00A46A0F">
        <w:t>Gottlieba</w:t>
      </w:r>
      <w:proofErr w:type="spellEnd"/>
      <w:r w:rsidR="00A46A0F">
        <w:t xml:space="preserve"> Baumgartnera </w:t>
      </w:r>
      <w:r w:rsidR="00BB221A">
        <w:t xml:space="preserve">(1714 – 1762), který na jeho základě formuloval pravidla nové odborné disciplíny </w:t>
      </w:r>
      <w:r w:rsidR="00BB221A" w:rsidRPr="00BB221A">
        <w:rPr>
          <w:i/>
        </w:rPr>
        <w:t>estetiky</w:t>
      </w:r>
      <w:r w:rsidR="00BB221A">
        <w:t xml:space="preserve">. Ve svém stěžejním díle </w:t>
      </w:r>
      <w:proofErr w:type="spellStart"/>
      <w:r w:rsidR="00BB221A" w:rsidRPr="00BB221A">
        <w:rPr>
          <w:i/>
        </w:rPr>
        <w:t>Aesthetica</w:t>
      </w:r>
      <w:proofErr w:type="spellEnd"/>
      <w:r w:rsidR="00BB221A">
        <w:t xml:space="preserve"> </w:t>
      </w:r>
      <w:r w:rsidR="008F4021">
        <w:t xml:space="preserve">(I. díl 1750, II. díl 1758) </w:t>
      </w:r>
      <w:r w:rsidR="00BB221A">
        <w:t xml:space="preserve">formuluje tezi, že </w:t>
      </w:r>
      <w:r w:rsidR="00BB221A" w:rsidRPr="003F414F">
        <w:rPr>
          <w:i/>
        </w:rPr>
        <w:t>aisthéta</w:t>
      </w:r>
      <w:r w:rsidR="00BB221A">
        <w:rPr>
          <w:i/>
        </w:rPr>
        <w:t xml:space="preserve"> </w:t>
      </w:r>
      <w:r w:rsidR="00BB221A">
        <w:t xml:space="preserve">představuje skutečné poznání, </w:t>
      </w:r>
      <w:r w:rsidR="008F4021">
        <w:t xml:space="preserve">které </w:t>
      </w:r>
      <w:r w:rsidR="00BB221A">
        <w:t xml:space="preserve">ale </w:t>
      </w:r>
      <w:r w:rsidR="008F4021">
        <w:t xml:space="preserve">je </w:t>
      </w:r>
      <w:r w:rsidR="00BB221A">
        <w:t>specifické svým konkrétním a smyslovým charakterem</w:t>
      </w:r>
      <w:r w:rsidR="00EE041A">
        <w:t xml:space="preserve"> (</w:t>
      </w:r>
      <w:proofErr w:type="spellStart"/>
      <w:r w:rsidR="00EE041A">
        <w:t>Souriau</w:t>
      </w:r>
      <w:proofErr w:type="spellEnd"/>
      <w:r w:rsidR="00EE041A">
        <w:t xml:space="preserve"> 1994, s. 242 – 245)</w:t>
      </w:r>
      <w:r w:rsidR="00BB221A">
        <w:t xml:space="preserve">. </w:t>
      </w:r>
    </w:p>
    <w:p w:rsidR="008B11A0" w:rsidRDefault="008B11A0" w:rsidP="00E90EC2">
      <w:pPr>
        <w:numPr>
          <w:ilvl w:val="0"/>
          <w:numId w:val="20"/>
        </w:numPr>
        <w:ind w:hanging="510"/>
      </w:pPr>
      <w:r>
        <w:t xml:space="preserve">Na podkladě problému „dvojího poznání“ si estetika s sebou od počátku nesla </w:t>
      </w:r>
      <w:r w:rsidR="00E97FD5">
        <w:t xml:space="preserve">otázku </w:t>
      </w:r>
      <w:r>
        <w:t xml:space="preserve">dvojznačnosti předmětu svého zkoumání: </w:t>
      </w:r>
      <w:r w:rsidRPr="00160533">
        <w:rPr>
          <w:b/>
          <w:highlight w:val="yellow"/>
        </w:rPr>
        <w:t xml:space="preserve">jde o zkoumání (a) </w:t>
      </w:r>
      <w:r w:rsidRPr="00160533">
        <w:rPr>
          <w:b/>
          <w:i/>
          <w:highlight w:val="yellow"/>
        </w:rPr>
        <w:t>pravdivosti smyslového obrazu vnějšího světa</w:t>
      </w:r>
      <w:r w:rsidRPr="00160533">
        <w:rPr>
          <w:b/>
          <w:highlight w:val="yellow"/>
        </w:rPr>
        <w:t xml:space="preserve">, nebo (b) </w:t>
      </w:r>
      <w:r w:rsidRPr="00160533">
        <w:rPr>
          <w:b/>
          <w:i/>
          <w:highlight w:val="yellow"/>
        </w:rPr>
        <w:t>hodnot duševních stavů člověka</w:t>
      </w:r>
      <w:r w:rsidRPr="00160533">
        <w:rPr>
          <w:b/>
          <w:highlight w:val="yellow"/>
        </w:rPr>
        <w:t>?</w:t>
      </w:r>
      <w:r>
        <w:t xml:space="preserve"> </w:t>
      </w:r>
      <w:r w:rsidR="00E9072B">
        <w:t xml:space="preserve">Z toho vyplývá problém </w:t>
      </w:r>
      <w:r w:rsidR="00E9072B" w:rsidRPr="007358A2">
        <w:rPr>
          <w:i/>
          <w:iCs/>
        </w:rPr>
        <w:t>předmětného východiska</w:t>
      </w:r>
      <w:r w:rsidR="00E9072B">
        <w:t xml:space="preserve"> pro výklad estetických (uměleckých) jevů. Přístup, který vychází z objektu pozorování (pravdivost smyslového obrazu), bývá nazýván </w:t>
      </w:r>
      <w:r w:rsidR="00E9072B" w:rsidRPr="00160533">
        <w:rPr>
          <w:b/>
          <w:i/>
        </w:rPr>
        <w:t>„objektivní esteti</w:t>
      </w:r>
      <w:r w:rsidR="00E9072B" w:rsidRPr="00160533">
        <w:rPr>
          <w:b/>
          <w:i/>
          <w:iCs/>
        </w:rPr>
        <w:t>kou</w:t>
      </w:r>
      <w:r w:rsidR="00E9072B" w:rsidRPr="00160533">
        <w:rPr>
          <w:b/>
        </w:rPr>
        <w:t>“,</w:t>
      </w:r>
      <w:r w:rsidR="00E9072B">
        <w:t xml:space="preserve"> zatímco přístup založený na ohledu k vnímateli </w:t>
      </w:r>
      <w:r w:rsidR="008E1767">
        <w:t xml:space="preserve">(hodnoty duševních stavů člověka) </w:t>
      </w:r>
      <w:r w:rsidR="00E9072B">
        <w:t xml:space="preserve">bývá označován jako </w:t>
      </w:r>
      <w:r w:rsidR="00E9072B" w:rsidRPr="00160533">
        <w:rPr>
          <w:b/>
        </w:rPr>
        <w:t>„</w:t>
      </w:r>
      <w:r w:rsidR="00E9072B" w:rsidRPr="00160533">
        <w:rPr>
          <w:b/>
          <w:i/>
          <w:iCs/>
        </w:rPr>
        <w:t>subjektivní estetika</w:t>
      </w:r>
      <w:r w:rsidR="00E9072B" w:rsidRPr="00160533">
        <w:rPr>
          <w:b/>
        </w:rPr>
        <w:t>“</w:t>
      </w:r>
      <w:r w:rsidR="00E9072B">
        <w:t xml:space="preserve"> (</w:t>
      </w:r>
      <w:proofErr w:type="spellStart"/>
      <w:r w:rsidR="00E9072B">
        <w:t>Ingarden</w:t>
      </w:r>
      <w:proofErr w:type="spellEnd"/>
      <w:r w:rsidR="00E9072B">
        <w:t xml:space="preserve">, R. 2003, s. 225, </w:t>
      </w:r>
      <w:proofErr w:type="spellStart"/>
      <w:r w:rsidR="00E9072B">
        <w:t>Prozerskij</w:t>
      </w:r>
      <w:proofErr w:type="spellEnd"/>
      <w:r w:rsidR="00E9072B">
        <w:t>, V. V. 1983, s. 7 – 9).</w:t>
      </w:r>
    </w:p>
    <w:p w:rsidR="00D47E11" w:rsidRPr="00D47E11" w:rsidRDefault="0074398E" w:rsidP="00D47E11">
      <w:pPr>
        <w:numPr>
          <w:ilvl w:val="0"/>
          <w:numId w:val="20"/>
        </w:numPr>
        <w:ind w:hanging="510"/>
      </w:pPr>
      <w:r>
        <w:t xml:space="preserve">K tomuto tradičnímu dělení založenému na </w:t>
      </w:r>
      <w:r w:rsidR="00E81EEA">
        <w:t xml:space="preserve">rozlišení v pojmové dvojici „subjekt – objekt“ </w:t>
      </w:r>
      <w:r>
        <w:t xml:space="preserve">bychom mohli přiřadit </w:t>
      </w:r>
      <w:r w:rsidR="00E81EEA">
        <w:t xml:space="preserve">ještě třetí stránku: </w:t>
      </w:r>
      <w:r w:rsidR="00E81EEA" w:rsidRPr="00E81EEA">
        <w:rPr>
          <w:i/>
        </w:rPr>
        <w:t>relaci mezi subjekty</w:t>
      </w:r>
      <w:r w:rsidR="00E81EEA">
        <w:t xml:space="preserve">. V ní se jedná o </w:t>
      </w:r>
      <w:r w:rsidR="00E81EEA">
        <w:rPr>
          <w:i/>
        </w:rPr>
        <w:t xml:space="preserve">zprostředkování </w:t>
      </w:r>
      <w:r w:rsidR="00E81EEA">
        <w:t xml:space="preserve">toho, co </w:t>
      </w:r>
      <w:r w:rsidR="00C16027">
        <w:t>je obsahem paměti</w:t>
      </w:r>
      <w:r w:rsidR="00D47E11">
        <w:t xml:space="preserve">. Z toho pak vyplývá určité pojetí výtvarného projevu: </w:t>
      </w:r>
      <w:r w:rsidR="00D47E11" w:rsidRPr="00D47E11">
        <w:rPr>
          <w:i/>
          <w:iCs/>
        </w:rPr>
        <w:t xml:space="preserve">Výtvarný projev je metoda, která umožňuje zprostředkovat </w:t>
      </w:r>
      <w:proofErr w:type="gramStart"/>
      <w:r w:rsidR="00D47E11" w:rsidRPr="00D47E11">
        <w:rPr>
          <w:b/>
          <w:bCs/>
          <w:i/>
          <w:iCs/>
        </w:rPr>
        <w:t>významy,  kvality</w:t>
      </w:r>
      <w:proofErr w:type="gramEnd"/>
      <w:r w:rsidR="00D47E11" w:rsidRPr="00D47E11">
        <w:rPr>
          <w:b/>
          <w:bCs/>
          <w:i/>
          <w:iCs/>
        </w:rPr>
        <w:t xml:space="preserve"> a hodnoty</w:t>
      </w:r>
      <w:r w:rsidR="00D47E11" w:rsidRPr="00D47E11">
        <w:rPr>
          <w:vertAlign w:val="superscript"/>
        </w:rPr>
        <w:footnoteReference w:id="1"/>
      </w:r>
      <w:r w:rsidR="00D47E11" w:rsidRPr="00D47E11">
        <w:t xml:space="preserve"> </w:t>
      </w:r>
      <w:r w:rsidR="00D47E11" w:rsidRPr="00D47E11">
        <w:rPr>
          <w:i/>
          <w:iCs/>
        </w:rPr>
        <w:t>na základě specifických operací s vizuální anebo haptickou výrazovou strukturou</w:t>
      </w:r>
      <w:r w:rsidR="00D47E11" w:rsidRPr="00D47E11">
        <w:t>. V šíři výrazových možností se výtvarný projev v lecčems blíží verbálnímu projevu, ale jak známo nesplývá s ním.</w:t>
      </w:r>
      <w:r w:rsidR="00D64B1C">
        <w:t xml:space="preserve"> Odtud</w:t>
      </w:r>
      <w:r w:rsidR="00D47E11" w:rsidRPr="00D47E11">
        <w:t xml:space="preserve"> vyplývají i mnohé vazby, a právě tak i rozdíly mezi „výtvarným“ a „pojmovým“, resp. „mentálním“.    </w:t>
      </w:r>
    </w:p>
    <w:p w:rsidR="0074398E" w:rsidRDefault="00D47E11" w:rsidP="00D47E11">
      <w:pPr>
        <w:numPr>
          <w:ilvl w:val="0"/>
          <w:numId w:val="20"/>
        </w:numPr>
        <w:ind w:hanging="510"/>
      </w:pPr>
      <w:r w:rsidRPr="00D47E11">
        <w:t xml:space="preserve">Funkční a transformační vztah mezi výtvarným a verbálním projevem je podobný jako souvislost mezi geometrickým projevem a formálním kalkulem: prostřednictvím jazyka lze výtvarný projev popisovat a vysvětlovat způsobem téměř vyčerpávajícím, ale nelze jej v jeho podobách a funkcích úplně nahradit. Příčina toho je prostá: ekvivalence jazyka a výtvarného projevu je uskutečnitelná jenom v rovině významů, nikoliv na úrovni kvalit nebo hodnot. Kvality nebo hodnoty zachycené výtvarným projevem se dají v jazyce pouze </w:t>
      </w:r>
      <w:r w:rsidRPr="00D47E11">
        <w:rPr>
          <w:i/>
          <w:iCs/>
        </w:rPr>
        <w:t>opsat</w:t>
      </w:r>
      <w:r w:rsidRPr="00D47E11">
        <w:t xml:space="preserve"> prostřednictvím významů, které má jazyk s výtvarným projevem společné, avšak </w:t>
      </w:r>
      <w:r w:rsidRPr="00D47E11">
        <w:rPr>
          <w:i/>
          <w:iCs/>
        </w:rPr>
        <w:t>nelze je přímo ukázat</w:t>
      </w:r>
      <w:r w:rsidRPr="00D47E11">
        <w:t xml:space="preserve"> způsobem, který je výtvarnému projevu vlastní.</w:t>
      </w:r>
    </w:p>
    <w:p w:rsidR="00C942DE" w:rsidRDefault="001F2360" w:rsidP="008E1767">
      <w:pPr>
        <w:numPr>
          <w:ilvl w:val="0"/>
          <w:numId w:val="20"/>
        </w:numPr>
        <w:ind w:hanging="510"/>
      </w:pPr>
      <w:r>
        <w:rPr>
          <w:i/>
        </w:rPr>
        <w:t xml:space="preserve">Teoretický </w:t>
      </w:r>
      <w:r>
        <w:t xml:space="preserve">problém pak vyplývá z toho, do jaké míry lze o výtvarném projevu formulovat nějakou výpověď tak, aby tuto výpověď bylo možné (1) testovat s ohledem na její správnost (resp. pravdivost), (2) obhajovat na podkladě </w:t>
      </w:r>
      <w:r w:rsidR="00491EB5">
        <w:t xml:space="preserve">racionální argumentace, tj. </w:t>
      </w:r>
      <w:r w:rsidR="00491EB5" w:rsidRPr="00491EB5">
        <w:rPr>
          <w:i/>
        </w:rPr>
        <w:t>zdůvodněných a logických soudů</w:t>
      </w:r>
      <w:r w:rsidR="00491EB5">
        <w:t xml:space="preserve">.  </w:t>
      </w:r>
      <w:r>
        <w:t xml:space="preserve"> </w:t>
      </w:r>
    </w:p>
    <w:p w:rsidR="008E1767" w:rsidRPr="008E1767" w:rsidRDefault="00491EB5" w:rsidP="008E1767">
      <w:pPr>
        <w:numPr>
          <w:ilvl w:val="0"/>
          <w:numId w:val="20"/>
        </w:numPr>
        <w:ind w:hanging="510"/>
      </w:pPr>
      <w:r>
        <w:t>V tezi 12 se jedná o</w:t>
      </w:r>
      <w:r w:rsidR="008E1767" w:rsidRPr="008E1767">
        <w:t xml:space="preserve"> </w:t>
      </w:r>
      <w:r w:rsidR="008E1767" w:rsidRPr="008E1767">
        <w:rPr>
          <w:i/>
          <w:iCs/>
        </w:rPr>
        <w:t>kognitivní problém</w:t>
      </w:r>
      <w:r w:rsidR="008E1767" w:rsidRPr="008E1767">
        <w:t xml:space="preserve">: do jaké míry je estetický soud </w:t>
      </w:r>
      <w:r w:rsidR="008E1767" w:rsidRPr="008E1767">
        <w:rPr>
          <w:i/>
          <w:iCs/>
        </w:rPr>
        <w:t>objektivní</w:t>
      </w:r>
      <w:r w:rsidR="008E1767" w:rsidRPr="008E1767">
        <w:t xml:space="preserve">, tj. do jaké míry jej lze </w:t>
      </w:r>
      <w:r w:rsidR="008E1767" w:rsidRPr="008E1767">
        <w:rPr>
          <w:i/>
          <w:iCs/>
        </w:rPr>
        <w:t>obecně logicky zdůvodnit</w:t>
      </w:r>
      <w:r w:rsidR="008E1767" w:rsidRPr="008E1767">
        <w:t xml:space="preserve"> tak, aby bylo dosaženo všeobecného souhlasu? (</w:t>
      </w:r>
      <w:proofErr w:type="spellStart"/>
      <w:r w:rsidR="008E1767" w:rsidRPr="008E1767">
        <w:t>Prozerskij</w:t>
      </w:r>
      <w:proofErr w:type="spellEnd"/>
      <w:r w:rsidR="008E1767" w:rsidRPr="008E1767">
        <w:t xml:space="preserve">, V. V. 1983, s. 7 – 9). Nebo jinak: </w:t>
      </w:r>
      <w:r w:rsidR="008E1767" w:rsidRPr="00160533">
        <w:rPr>
          <w:highlight w:val="yellow"/>
        </w:rPr>
        <w:t xml:space="preserve">(a) do jaké míry lze </w:t>
      </w:r>
      <w:r w:rsidR="008E1767" w:rsidRPr="00160533">
        <w:rPr>
          <w:i/>
          <w:iCs/>
          <w:highlight w:val="yellow"/>
        </w:rPr>
        <w:t>objektivně poznávat</w:t>
      </w:r>
      <w:r w:rsidR="008E1767" w:rsidRPr="00160533">
        <w:rPr>
          <w:highlight w:val="yellow"/>
        </w:rPr>
        <w:t xml:space="preserve"> </w:t>
      </w:r>
      <w:r w:rsidR="008E1767" w:rsidRPr="00160533">
        <w:rPr>
          <w:i/>
          <w:iCs/>
          <w:highlight w:val="yellow"/>
        </w:rPr>
        <w:t>estetické (umělecké) jevy</w:t>
      </w:r>
      <w:r w:rsidR="008E1767" w:rsidRPr="00160533">
        <w:rPr>
          <w:highlight w:val="yellow"/>
        </w:rPr>
        <w:t xml:space="preserve"> a (b) do jaké míry estetický (umělecký) soud </w:t>
      </w:r>
      <w:r w:rsidR="008E1767" w:rsidRPr="00160533">
        <w:rPr>
          <w:i/>
          <w:iCs/>
          <w:highlight w:val="yellow"/>
        </w:rPr>
        <w:t>vystihuje objektivní vlastnosti skutečnosti</w:t>
      </w:r>
      <w:r w:rsidR="008E1767" w:rsidRPr="00160533">
        <w:rPr>
          <w:highlight w:val="yellow"/>
        </w:rPr>
        <w:t xml:space="preserve">? </w:t>
      </w:r>
      <w:r w:rsidR="00EC0CE0" w:rsidRPr="00160533">
        <w:rPr>
          <w:b/>
          <w:highlight w:val="yellow"/>
        </w:rPr>
        <w:t xml:space="preserve">Kdybychom tyto otázky zamítli, připustili bychom, že </w:t>
      </w:r>
      <w:r w:rsidR="0040280C" w:rsidRPr="00160533">
        <w:rPr>
          <w:b/>
          <w:highlight w:val="yellow"/>
        </w:rPr>
        <w:t xml:space="preserve">(1) nelze vést argumentovaný dialog o významech nebo hodnotách estetických či uměleckých jevů a (2) nelze </w:t>
      </w:r>
      <w:r w:rsidR="000C7333" w:rsidRPr="00160533">
        <w:rPr>
          <w:b/>
          <w:highlight w:val="yellow"/>
        </w:rPr>
        <w:t>rozlišovat hodnotové alterace esteticky nebo umělecky relevantního jevu</w:t>
      </w:r>
      <w:r w:rsidR="000C6C70" w:rsidRPr="00160533">
        <w:rPr>
          <w:b/>
          <w:highlight w:val="yellow"/>
        </w:rPr>
        <w:t>, tzn.</w:t>
      </w:r>
      <w:r w:rsidR="00160533">
        <w:rPr>
          <w:b/>
          <w:highlight w:val="yellow"/>
        </w:rPr>
        <w:t>,</w:t>
      </w:r>
      <w:r w:rsidR="000C6C70" w:rsidRPr="00160533">
        <w:rPr>
          <w:b/>
          <w:highlight w:val="yellow"/>
        </w:rPr>
        <w:t xml:space="preserve"> že nelze směřovat ke zlepšení estetického či uměleckého výkonu</w:t>
      </w:r>
      <w:r w:rsidR="00913FCF" w:rsidRPr="00160533">
        <w:rPr>
          <w:b/>
          <w:highlight w:val="yellow"/>
        </w:rPr>
        <w:t>, ať již v oblasti tvorby nebo recepce</w:t>
      </w:r>
      <w:r w:rsidR="0040280C" w:rsidRPr="00160533">
        <w:rPr>
          <w:b/>
          <w:highlight w:val="yellow"/>
        </w:rPr>
        <w:t>. Jinými slovy</w:t>
      </w:r>
      <w:r w:rsidR="000C7333" w:rsidRPr="00160533">
        <w:rPr>
          <w:b/>
          <w:highlight w:val="yellow"/>
        </w:rPr>
        <w:t xml:space="preserve">, odmítli bychom jak možnost smysluplně </w:t>
      </w:r>
      <w:r w:rsidR="000C7333" w:rsidRPr="00160533">
        <w:rPr>
          <w:b/>
          <w:i/>
          <w:highlight w:val="yellow"/>
        </w:rPr>
        <w:t>komunikovat</w:t>
      </w:r>
      <w:r w:rsidR="000C7333" w:rsidRPr="00160533">
        <w:rPr>
          <w:b/>
          <w:highlight w:val="yellow"/>
        </w:rPr>
        <w:t xml:space="preserve"> o uměleckých (estetických) jevech, tak i možnost </w:t>
      </w:r>
      <w:r w:rsidR="000C6C70" w:rsidRPr="00160533">
        <w:rPr>
          <w:b/>
          <w:highlight w:val="yellow"/>
        </w:rPr>
        <w:t xml:space="preserve">učit se </w:t>
      </w:r>
      <w:r w:rsidR="000C7333" w:rsidRPr="00160533">
        <w:rPr>
          <w:b/>
          <w:highlight w:val="yellow"/>
        </w:rPr>
        <w:t xml:space="preserve">s nimi </w:t>
      </w:r>
      <w:r w:rsidR="000C7333" w:rsidRPr="00160533">
        <w:rPr>
          <w:b/>
          <w:i/>
          <w:highlight w:val="yellow"/>
        </w:rPr>
        <w:t>kulturně zacházet</w:t>
      </w:r>
      <w:r w:rsidR="000C7333" w:rsidRPr="00160533">
        <w:rPr>
          <w:b/>
          <w:highlight w:val="yellow"/>
        </w:rPr>
        <w:t xml:space="preserve">. Neboli: zrušili bychom </w:t>
      </w:r>
      <w:r w:rsidR="00BD056F" w:rsidRPr="00160533">
        <w:rPr>
          <w:b/>
          <w:highlight w:val="yellow"/>
        </w:rPr>
        <w:t>výtvarnou výchovu jako vzdělávací a výchovný obor</w:t>
      </w:r>
      <w:r w:rsidR="00C75D63" w:rsidRPr="00160533">
        <w:rPr>
          <w:b/>
          <w:highlight w:val="yellow"/>
        </w:rPr>
        <w:t xml:space="preserve"> (pak bychom se museli věnovat něčemu jinému, nebo loupit, žebrat či zahynout hladem)</w:t>
      </w:r>
      <w:r w:rsidR="000C7333" w:rsidRPr="00160533">
        <w:rPr>
          <w:b/>
          <w:highlight w:val="yellow"/>
        </w:rPr>
        <w:t>.</w:t>
      </w:r>
      <w:r w:rsidR="000C7333">
        <w:t xml:space="preserve">   </w:t>
      </w:r>
      <w:r w:rsidR="0040280C">
        <w:t xml:space="preserve">  </w:t>
      </w:r>
      <w:r w:rsidR="00EC0CE0">
        <w:t xml:space="preserve"> </w:t>
      </w:r>
    </w:p>
    <w:p w:rsidR="005A6CD8" w:rsidRPr="005A6CD8" w:rsidRDefault="008E1767" w:rsidP="005A6CD8">
      <w:pPr>
        <w:numPr>
          <w:ilvl w:val="0"/>
          <w:numId w:val="20"/>
        </w:numPr>
        <w:ind w:hanging="510"/>
      </w:pPr>
      <w:r>
        <w:lastRenderedPageBreak/>
        <w:t xml:space="preserve">Ať již budeme za východisko úvah pokládat (ad 10 a) objektivní poznávání estetických jevů, nebo (ad 10 b) výstižnost estetického soudu vzhledem ke skutečnosti, </w:t>
      </w:r>
      <w:r w:rsidR="005A6CD8">
        <w:t xml:space="preserve">v obou případech je nezbytným předpokladem </w:t>
      </w:r>
      <w:r w:rsidR="00C75D63">
        <w:t xml:space="preserve">aktivity </w:t>
      </w:r>
      <w:r w:rsidR="005A6CD8">
        <w:t xml:space="preserve">osobní </w:t>
      </w:r>
      <w:r w:rsidR="005A6CD8" w:rsidRPr="005A6CD8">
        <w:t>dispozic</w:t>
      </w:r>
      <w:r w:rsidR="005A6CD8">
        <w:t>e</w:t>
      </w:r>
      <w:r w:rsidR="005A6CD8" w:rsidRPr="005A6CD8">
        <w:t xml:space="preserve"> </w:t>
      </w:r>
      <w:r w:rsidR="005A6CD8">
        <w:t xml:space="preserve">člověka </w:t>
      </w:r>
      <w:r w:rsidR="005A6CD8" w:rsidRPr="005A6CD8">
        <w:rPr>
          <w:b/>
          <w:bCs/>
          <w:i/>
          <w:iCs/>
        </w:rPr>
        <w:t>vnímat a rozpoznávat</w:t>
      </w:r>
      <w:r w:rsidR="005A6CD8" w:rsidRPr="005A6CD8">
        <w:rPr>
          <w:b/>
          <w:bCs/>
        </w:rPr>
        <w:t xml:space="preserve"> </w:t>
      </w:r>
      <w:r w:rsidR="005A6CD8" w:rsidRPr="005A6CD8">
        <w:rPr>
          <w:b/>
          <w:bCs/>
          <w:i/>
          <w:iCs/>
        </w:rPr>
        <w:t>(„vidět“)</w:t>
      </w:r>
      <w:r w:rsidR="005A6CD8" w:rsidRPr="005A6CD8">
        <w:rPr>
          <w:i/>
          <w:iCs/>
        </w:rPr>
        <w:t xml:space="preserve"> </w:t>
      </w:r>
      <w:r w:rsidR="005A6CD8" w:rsidRPr="005A6CD8">
        <w:t xml:space="preserve">na objektu ty </w:t>
      </w:r>
      <w:r w:rsidR="005A6CD8" w:rsidRPr="005A6CD8">
        <w:rPr>
          <w:i/>
          <w:iCs/>
        </w:rPr>
        <w:t>vlastnosti, které jsou relevantní pro jeho estetické (umělecké) posuzování</w:t>
      </w:r>
      <w:r w:rsidR="005A6CD8" w:rsidRPr="005A6CD8">
        <w:t xml:space="preserve"> (</w:t>
      </w:r>
      <w:proofErr w:type="spellStart"/>
      <w:r w:rsidR="005A6CD8" w:rsidRPr="005A6CD8">
        <w:t>Sibley</w:t>
      </w:r>
      <w:proofErr w:type="spellEnd"/>
      <w:r w:rsidR="005A6CD8" w:rsidRPr="005A6CD8">
        <w:t xml:space="preserve">, F. 2003, s. 35 – 38). </w:t>
      </w:r>
      <w:r w:rsidR="005A6CD8" w:rsidRPr="00D008B0">
        <w:rPr>
          <w:b/>
        </w:rPr>
        <w:t xml:space="preserve">Tato dispozice musí být dílem </w:t>
      </w:r>
      <w:r w:rsidR="005A6CD8" w:rsidRPr="00D008B0">
        <w:rPr>
          <w:b/>
          <w:i/>
          <w:iCs/>
        </w:rPr>
        <w:t>vrozená</w:t>
      </w:r>
      <w:r w:rsidR="005A6CD8" w:rsidRPr="00D008B0">
        <w:rPr>
          <w:b/>
        </w:rPr>
        <w:t xml:space="preserve"> </w:t>
      </w:r>
      <w:r w:rsidR="005A6CD8" w:rsidRPr="00D008B0">
        <w:rPr>
          <w:b/>
          <w:i/>
          <w:iCs/>
        </w:rPr>
        <w:t>(talent)</w:t>
      </w:r>
      <w:r w:rsidR="005A6CD8" w:rsidRPr="00D008B0">
        <w:rPr>
          <w:b/>
        </w:rPr>
        <w:t xml:space="preserve">, protože ze zkušenosti víme, že někteří lidé ji „přirozeně“ mají lepší než jiní, dílem se dá rozvíjet prostřednictvím specifického </w:t>
      </w:r>
      <w:r w:rsidR="005A6CD8" w:rsidRPr="00D008B0">
        <w:rPr>
          <w:b/>
          <w:i/>
          <w:iCs/>
        </w:rPr>
        <w:t>učení</w:t>
      </w:r>
      <w:r w:rsidR="005A6CD8" w:rsidRPr="00D008B0">
        <w:rPr>
          <w:b/>
          <w:iCs/>
        </w:rPr>
        <w:t>, protože víme, že výcvikem se dá zlepšovat</w:t>
      </w:r>
      <w:r w:rsidR="005A6CD8" w:rsidRPr="00D008B0">
        <w:rPr>
          <w:b/>
        </w:rPr>
        <w:t>.</w:t>
      </w:r>
      <w:r w:rsidR="005A6CD8" w:rsidRPr="005A6CD8">
        <w:t xml:space="preserve">   </w:t>
      </w:r>
    </w:p>
    <w:p w:rsidR="005A6CD8" w:rsidRDefault="005A6CD8" w:rsidP="005A6CD8">
      <w:pPr>
        <w:numPr>
          <w:ilvl w:val="0"/>
          <w:numId w:val="20"/>
        </w:numPr>
        <w:tabs>
          <w:tab w:val="num" w:pos="717"/>
        </w:tabs>
        <w:ind w:hanging="510"/>
      </w:pPr>
      <w:r w:rsidRPr="005A6CD8">
        <w:t>Z předcházející</w:t>
      </w:r>
      <w:r>
        <w:t>ch</w:t>
      </w:r>
      <w:r w:rsidRPr="005A6CD8">
        <w:t xml:space="preserve"> odstavc</w:t>
      </w:r>
      <w:r>
        <w:t>ů</w:t>
      </w:r>
      <w:r w:rsidRPr="005A6CD8">
        <w:t xml:space="preserve"> vyplývá, že </w:t>
      </w:r>
      <w:r>
        <w:t xml:space="preserve">východiskem pro estetické (výtvarné) souzení nebo </w:t>
      </w:r>
      <w:proofErr w:type="gramStart"/>
      <w:r>
        <w:t xml:space="preserve">usuzování </w:t>
      </w:r>
      <w:r w:rsidRPr="005A6CD8">
        <w:t xml:space="preserve"> </w:t>
      </w:r>
      <w:r>
        <w:t>je</w:t>
      </w:r>
      <w:proofErr w:type="gramEnd"/>
      <w:r>
        <w:t xml:space="preserve"> </w:t>
      </w:r>
      <w:r w:rsidRPr="005A6CD8">
        <w:rPr>
          <w:b/>
          <w:bCs/>
          <w:i/>
          <w:iCs/>
        </w:rPr>
        <w:t xml:space="preserve">interpretace osobního </w:t>
      </w:r>
      <w:r w:rsidR="00FF7720">
        <w:rPr>
          <w:b/>
          <w:bCs/>
          <w:i/>
          <w:iCs/>
        </w:rPr>
        <w:t>estetického (</w:t>
      </w:r>
      <w:r w:rsidRPr="005A6CD8">
        <w:rPr>
          <w:b/>
          <w:bCs/>
          <w:i/>
          <w:iCs/>
        </w:rPr>
        <w:t>výtvarného</w:t>
      </w:r>
      <w:r w:rsidR="00FF7720">
        <w:rPr>
          <w:b/>
          <w:bCs/>
          <w:i/>
          <w:iCs/>
        </w:rPr>
        <w:t>)</w:t>
      </w:r>
      <w:r w:rsidRPr="005A6CD8">
        <w:rPr>
          <w:b/>
          <w:bCs/>
          <w:i/>
          <w:iCs/>
        </w:rPr>
        <w:t xml:space="preserve"> zážitku</w:t>
      </w:r>
      <w:r w:rsidRPr="005A6CD8">
        <w:t xml:space="preserve"> prostřednictvím </w:t>
      </w:r>
      <w:r w:rsidRPr="00CD224E">
        <w:rPr>
          <w:b/>
          <w:i/>
          <w:iCs/>
        </w:rPr>
        <w:t>jazyka</w:t>
      </w:r>
      <w:r w:rsidRPr="005A6CD8">
        <w:t xml:space="preserve">. Tento proces má zprvu povahu </w:t>
      </w:r>
      <w:r w:rsidRPr="005A6CD8">
        <w:rPr>
          <w:i/>
          <w:iCs/>
        </w:rPr>
        <w:t>indukce</w:t>
      </w:r>
      <w:r w:rsidRPr="005A6CD8">
        <w:t>. To znamená, že začíná pozorováním</w:t>
      </w:r>
      <w:r w:rsidRPr="005A6CD8">
        <w:rPr>
          <w:i/>
          <w:iCs/>
        </w:rPr>
        <w:t xml:space="preserve"> vizuální nebo haptické podoby</w:t>
      </w:r>
      <w:r w:rsidRPr="005A6CD8">
        <w:t xml:space="preserve"> díla a nachází své </w:t>
      </w:r>
      <w:r w:rsidRPr="005A6CD8">
        <w:rPr>
          <w:i/>
          <w:iCs/>
        </w:rPr>
        <w:t>empiricky dokazatelné</w:t>
      </w:r>
      <w:r w:rsidRPr="005A6CD8">
        <w:t xml:space="preserve"> východisko v jazykovém </w:t>
      </w:r>
      <w:r w:rsidRPr="005A6CD8">
        <w:rPr>
          <w:i/>
          <w:iCs/>
        </w:rPr>
        <w:t xml:space="preserve">popisu faktury díla </w:t>
      </w:r>
      <w:r w:rsidRPr="005A6CD8">
        <w:t>(viz dále).</w:t>
      </w:r>
    </w:p>
    <w:p w:rsidR="000B3620" w:rsidRDefault="00FF7720" w:rsidP="00927B93">
      <w:pPr>
        <w:numPr>
          <w:ilvl w:val="0"/>
          <w:numId w:val="20"/>
        </w:numPr>
        <w:ind w:hanging="510"/>
      </w:pPr>
      <w:r>
        <w:t xml:space="preserve">V souvislosti se zdůrazněním úlohy </w:t>
      </w:r>
      <w:r w:rsidR="008F71B9">
        <w:t xml:space="preserve">osobního prožitku a citu se v 17. a 18. století rozvinul vlivný proud myšlení anglických, francouzských a německých filozofů. Na něj navázal </w:t>
      </w:r>
      <w:r w:rsidR="00927B93">
        <w:t>Immanuel Kant (1724 – 1790)</w:t>
      </w:r>
      <w:r w:rsidR="008F71B9">
        <w:t>, který</w:t>
      </w:r>
      <w:r w:rsidR="00927B93">
        <w:t xml:space="preserve"> v reakci na Baumgartnera</w:t>
      </w:r>
      <w:r w:rsidR="008F71B9">
        <w:t xml:space="preserve">, </w:t>
      </w:r>
      <w:proofErr w:type="spellStart"/>
      <w:r w:rsidR="008F71B9">
        <w:t>Burkeho</w:t>
      </w:r>
      <w:proofErr w:type="spellEnd"/>
      <w:r w:rsidR="008F71B9">
        <w:t xml:space="preserve">, </w:t>
      </w:r>
      <w:r w:rsidR="003B09C6">
        <w:t xml:space="preserve">abbé </w:t>
      </w:r>
      <w:proofErr w:type="spellStart"/>
      <w:r w:rsidR="003B09C6">
        <w:t>Dubose</w:t>
      </w:r>
      <w:proofErr w:type="spellEnd"/>
      <w:r w:rsidR="003B09C6">
        <w:t xml:space="preserve">, </w:t>
      </w:r>
      <w:proofErr w:type="spellStart"/>
      <w:r w:rsidR="008F71B9">
        <w:t>Sulzera</w:t>
      </w:r>
      <w:proofErr w:type="spellEnd"/>
      <w:r w:rsidR="008F71B9">
        <w:t xml:space="preserve"> a </w:t>
      </w:r>
      <w:proofErr w:type="spellStart"/>
      <w:r w:rsidR="008F71B9">
        <w:t>Mosese</w:t>
      </w:r>
      <w:proofErr w:type="spellEnd"/>
      <w:r w:rsidR="008F71B9">
        <w:t xml:space="preserve"> </w:t>
      </w:r>
      <w:proofErr w:type="spellStart"/>
      <w:r w:rsidR="008F71B9">
        <w:t>Mendelssona</w:t>
      </w:r>
      <w:proofErr w:type="spellEnd"/>
      <w:r w:rsidR="008F71B9">
        <w:t xml:space="preserve"> </w:t>
      </w:r>
      <w:r w:rsidR="00927B93">
        <w:t xml:space="preserve">navrhl, </w:t>
      </w:r>
      <w:r w:rsidR="00927B93" w:rsidRPr="00160533">
        <w:rPr>
          <w:highlight w:val="yellow"/>
        </w:rPr>
        <w:t xml:space="preserve">aby estetika byla pokládána za obor, předmětem jehož zkoumání jsou </w:t>
      </w:r>
      <w:r w:rsidR="00927B93" w:rsidRPr="00160533">
        <w:rPr>
          <w:i/>
          <w:highlight w:val="yellow"/>
        </w:rPr>
        <w:t>soudy určované vkusem</w:t>
      </w:r>
      <w:r w:rsidR="00927B93">
        <w:rPr>
          <w:i/>
        </w:rPr>
        <w:t xml:space="preserve"> </w:t>
      </w:r>
      <w:r w:rsidR="00927B93">
        <w:t xml:space="preserve">(rozlišování Krásného od Ne-krásného, resp. Ošklivého). </w:t>
      </w:r>
    </w:p>
    <w:p w:rsidR="00927B93" w:rsidRDefault="003B09C6" w:rsidP="00927B93">
      <w:pPr>
        <w:numPr>
          <w:ilvl w:val="0"/>
          <w:numId w:val="20"/>
        </w:numPr>
        <w:ind w:hanging="510"/>
      </w:pPr>
      <w:r>
        <w:t xml:space="preserve">Kant považuje estetický soud za soud </w:t>
      </w:r>
      <w:r w:rsidRPr="003B09C6">
        <w:rPr>
          <w:i/>
        </w:rPr>
        <w:t>citový</w:t>
      </w:r>
      <w:r>
        <w:t xml:space="preserve">, založený na </w:t>
      </w:r>
      <w:r w:rsidRPr="003B09C6">
        <w:rPr>
          <w:i/>
        </w:rPr>
        <w:t>zalíbení</w:t>
      </w:r>
      <w:r>
        <w:t xml:space="preserve">, ale požaduje pro něj nárok na </w:t>
      </w:r>
      <w:r w:rsidRPr="003B09C6">
        <w:rPr>
          <w:i/>
        </w:rPr>
        <w:t>všeobecnou platnost</w:t>
      </w:r>
      <w:r>
        <w:t xml:space="preserve">. </w:t>
      </w:r>
      <w:r w:rsidR="003B6347">
        <w:t xml:space="preserve">Jinak řečeno, je-li vkus schopnost posoudit bezprostředně a spontánně to, co se člověku líbí, pak </w:t>
      </w:r>
      <w:r w:rsidR="003B6347" w:rsidRPr="003B6347">
        <w:rPr>
          <w:i/>
        </w:rPr>
        <w:t>dobrý vkus</w:t>
      </w:r>
      <w:r w:rsidR="00927B93">
        <w:t xml:space="preserve"> </w:t>
      </w:r>
      <w:r w:rsidR="003B6347">
        <w:t xml:space="preserve">je schopnost posoudit bezprostředně a spontánně to, co by se lidem líbit </w:t>
      </w:r>
      <w:r w:rsidR="003B6347" w:rsidRPr="003B6347">
        <w:rPr>
          <w:i/>
        </w:rPr>
        <w:t>mělo</w:t>
      </w:r>
      <w:r w:rsidR="003B6347">
        <w:rPr>
          <w:i/>
        </w:rPr>
        <w:t xml:space="preserve"> </w:t>
      </w:r>
      <w:r w:rsidR="003B6347">
        <w:t>(</w:t>
      </w:r>
      <w:proofErr w:type="spellStart"/>
      <w:r w:rsidR="003B6347">
        <w:t>Souriau</w:t>
      </w:r>
      <w:proofErr w:type="spellEnd"/>
      <w:r w:rsidR="003B6347">
        <w:t xml:space="preserve"> 1994, s. 403</w:t>
      </w:r>
      <w:r w:rsidR="00933B3A">
        <w:t xml:space="preserve">, </w:t>
      </w:r>
      <w:proofErr w:type="spellStart"/>
      <w:r w:rsidR="00933B3A">
        <w:t>Prozerskij</w:t>
      </w:r>
      <w:proofErr w:type="spellEnd"/>
      <w:r w:rsidR="00933B3A">
        <w:t xml:space="preserve"> 1983</w:t>
      </w:r>
      <w:r w:rsidR="003B6347">
        <w:t xml:space="preserve">). </w:t>
      </w:r>
      <w:r w:rsidR="00D8205D" w:rsidRPr="00D8205D">
        <w:rPr>
          <w:b/>
        </w:rPr>
        <w:t xml:space="preserve">Přestože současná estetika a teorie umění daleko přesahuje původní kategorii Krásna a mnohdy </w:t>
      </w:r>
      <w:r w:rsidR="00D8205D">
        <w:rPr>
          <w:b/>
        </w:rPr>
        <w:t>ji i odmítá</w:t>
      </w:r>
      <w:r w:rsidR="00D8205D" w:rsidRPr="00D8205D">
        <w:rPr>
          <w:b/>
        </w:rPr>
        <w:t>, principy uvažování o estetických nebo uměleckých jevech zůstávají stále stejné bez ohledu na změny, jimiž prochází kultura.</w:t>
      </w:r>
      <w:r w:rsidR="00D8205D">
        <w:t xml:space="preserve"> Chceme-li se tedy naučit </w:t>
      </w:r>
      <w:r w:rsidR="00D8205D" w:rsidRPr="00D8205D">
        <w:rPr>
          <w:b/>
        </w:rPr>
        <w:t>specificky teoreticky myslet</w:t>
      </w:r>
      <w:r w:rsidR="00D8205D">
        <w:t xml:space="preserve"> v rámci našeho oboru tak, abychom mohli </w:t>
      </w:r>
      <w:r w:rsidR="00D8205D" w:rsidRPr="00D8205D">
        <w:rPr>
          <w:b/>
        </w:rPr>
        <w:t xml:space="preserve">(1) zůstávat v doteku s reálnými socio-kulturními jevy (např. s konkrétními </w:t>
      </w:r>
      <w:r w:rsidR="00D8205D">
        <w:rPr>
          <w:b/>
        </w:rPr>
        <w:t xml:space="preserve">životními </w:t>
      </w:r>
      <w:r w:rsidR="00D8205D" w:rsidRPr="00D8205D">
        <w:rPr>
          <w:b/>
        </w:rPr>
        <w:t>situacemi žáků)</w:t>
      </w:r>
      <w:r w:rsidR="00D8205D">
        <w:t xml:space="preserve"> a </w:t>
      </w:r>
      <w:r w:rsidR="00D8205D" w:rsidRPr="00D8205D">
        <w:rPr>
          <w:b/>
        </w:rPr>
        <w:t>(2) mohli navrhovat odpovídající výzkumy</w:t>
      </w:r>
      <w:r w:rsidR="00D8205D">
        <w:t xml:space="preserve">, měli bychom sledovat </w:t>
      </w:r>
      <w:r w:rsidR="00351F30">
        <w:t xml:space="preserve">vývoj daného typu myšlení. </w:t>
      </w:r>
      <w:r w:rsidR="00927B93">
        <w:t xml:space="preserve">      </w:t>
      </w:r>
    </w:p>
    <w:p w:rsidR="00927B93" w:rsidRPr="00160533" w:rsidRDefault="00927B93" w:rsidP="00927B93">
      <w:pPr>
        <w:numPr>
          <w:ilvl w:val="0"/>
          <w:numId w:val="20"/>
        </w:numPr>
        <w:tabs>
          <w:tab w:val="num" w:pos="717"/>
        </w:tabs>
        <w:ind w:hanging="510"/>
        <w:rPr>
          <w:highlight w:val="yellow"/>
        </w:rPr>
      </w:pPr>
      <w:r w:rsidRPr="000E1F8F">
        <w:rPr>
          <w:b/>
          <w:bCs/>
        </w:rPr>
        <w:t>Nárok na platnost estetického soudu.</w:t>
      </w:r>
      <w:r w:rsidRPr="000E1F8F">
        <w:t xml:space="preserve"> V podmínkách </w:t>
      </w:r>
      <w:r w:rsidRPr="00486D74">
        <w:rPr>
          <w:b/>
          <w:i/>
        </w:rPr>
        <w:t>konfrontace individuálních soudů</w:t>
      </w:r>
      <w:r w:rsidRPr="000E1F8F">
        <w:t xml:space="preserve"> vzniká potřeba </w:t>
      </w:r>
      <w:r w:rsidRPr="000E1F8F">
        <w:rPr>
          <w:i/>
          <w:iCs/>
        </w:rPr>
        <w:t>posuzovat nároky na jejich intersubjektivní platnost</w:t>
      </w:r>
      <w:r w:rsidRPr="000E1F8F">
        <w:t xml:space="preserve">. </w:t>
      </w:r>
      <w:r w:rsidRPr="00160533">
        <w:rPr>
          <w:b/>
          <w:highlight w:val="yellow"/>
        </w:rPr>
        <w:t xml:space="preserve">Kdyby totiž všechny estetické soudy vztažené k určitému objektu měly </w:t>
      </w:r>
      <w:r w:rsidRPr="00160533">
        <w:rPr>
          <w:b/>
          <w:i/>
          <w:iCs/>
          <w:highlight w:val="yellow"/>
        </w:rPr>
        <w:t>stejný</w:t>
      </w:r>
      <w:r w:rsidRPr="00160533">
        <w:rPr>
          <w:b/>
          <w:highlight w:val="yellow"/>
        </w:rPr>
        <w:t xml:space="preserve"> nárok na platnost, přestože by byly navzájem odlišné, nemělo by smysl je ospravedlňovat anebo v souvislosti s nimi vyžadovat obecný souhlas</w:t>
      </w:r>
      <w:r w:rsidR="00466F71" w:rsidRPr="00160533">
        <w:rPr>
          <w:b/>
          <w:highlight w:val="yellow"/>
        </w:rPr>
        <w:t xml:space="preserve"> (přestože víme, že všeobecného souhlasu nelze </w:t>
      </w:r>
      <w:proofErr w:type="gramStart"/>
      <w:r w:rsidR="00466F71" w:rsidRPr="00160533">
        <w:rPr>
          <w:b/>
          <w:highlight w:val="yellow"/>
        </w:rPr>
        <w:t>dosáhnout,  předpokládáme</w:t>
      </w:r>
      <w:proofErr w:type="gramEnd"/>
      <w:r w:rsidR="00466F71" w:rsidRPr="00160533">
        <w:rPr>
          <w:b/>
          <w:highlight w:val="yellow"/>
        </w:rPr>
        <w:t xml:space="preserve"> </w:t>
      </w:r>
      <w:r w:rsidR="004C0552" w:rsidRPr="00160533">
        <w:rPr>
          <w:b/>
          <w:highlight w:val="yellow"/>
        </w:rPr>
        <w:t xml:space="preserve">jej </w:t>
      </w:r>
      <w:r w:rsidR="00466F71" w:rsidRPr="00160533">
        <w:rPr>
          <w:b/>
          <w:highlight w:val="yellow"/>
        </w:rPr>
        <w:t>– tento typický rys estetických soudů byl objeven a rozebrán I. Kantem)</w:t>
      </w:r>
      <w:r w:rsidRPr="00160533">
        <w:rPr>
          <w:b/>
          <w:highlight w:val="yellow"/>
        </w:rPr>
        <w:t xml:space="preserve">. Pak by ovšem nebylo ani možné pro každý případ hledat </w:t>
      </w:r>
      <w:r w:rsidRPr="00160533">
        <w:rPr>
          <w:b/>
          <w:i/>
          <w:iCs/>
          <w:highlight w:val="yellow"/>
        </w:rPr>
        <w:t>relativně</w:t>
      </w:r>
      <w:r w:rsidRPr="00160533">
        <w:rPr>
          <w:b/>
          <w:highlight w:val="yellow"/>
        </w:rPr>
        <w:t xml:space="preserve"> </w:t>
      </w:r>
      <w:r w:rsidRPr="00160533">
        <w:rPr>
          <w:b/>
          <w:i/>
          <w:iCs/>
          <w:highlight w:val="yellow"/>
        </w:rPr>
        <w:t>nejlepší estetický soud</w:t>
      </w:r>
      <w:r w:rsidRPr="00160533">
        <w:rPr>
          <w:b/>
          <w:highlight w:val="yellow"/>
        </w:rPr>
        <w:t xml:space="preserve">. Nemělo by tedy ani smysl </w:t>
      </w:r>
      <w:r w:rsidRPr="00160533">
        <w:rPr>
          <w:b/>
          <w:i/>
          <w:iCs/>
          <w:highlight w:val="yellow"/>
        </w:rPr>
        <w:t>zlepšovat předpoklady</w:t>
      </w:r>
      <w:r w:rsidRPr="00160533">
        <w:rPr>
          <w:b/>
          <w:highlight w:val="yellow"/>
        </w:rPr>
        <w:t xml:space="preserve"> k estetickému usuzování, tj. </w:t>
      </w:r>
      <w:r w:rsidRPr="00160533">
        <w:rPr>
          <w:b/>
          <w:i/>
          <w:iCs/>
          <w:highlight w:val="yellow"/>
        </w:rPr>
        <w:t>učit se mu</w:t>
      </w:r>
      <w:r w:rsidRPr="00160533">
        <w:rPr>
          <w:highlight w:val="yellow"/>
        </w:rPr>
        <w:t xml:space="preserve">.   </w:t>
      </w:r>
    </w:p>
    <w:p w:rsidR="00FE2C7C" w:rsidRDefault="00FE2C7C" w:rsidP="00FE2C7C">
      <w:pPr>
        <w:numPr>
          <w:ilvl w:val="0"/>
          <w:numId w:val="20"/>
        </w:numPr>
        <w:tabs>
          <w:tab w:val="num" w:pos="717"/>
        </w:tabs>
        <w:ind w:hanging="510"/>
      </w:pPr>
      <w:r>
        <w:t xml:space="preserve">Podle K. </w:t>
      </w:r>
      <w:proofErr w:type="spellStart"/>
      <w:r>
        <w:t>Lüdekinda</w:t>
      </w:r>
      <w:proofErr w:type="spellEnd"/>
      <w:r>
        <w:t xml:space="preserve"> (2003, s. 217 – 218) lze pro zdůvodňování platnosti estetických soudů využít dvou klíčových kritérií</w:t>
      </w:r>
      <w:r w:rsidR="00EF14F5">
        <w:t xml:space="preserve"> (resp. typů kritérií)</w:t>
      </w:r>
      <w:r>
        <w:t xml:space="preserve">. První kritérium je odvozené z pojetí, které zastával </w:t>
      </w:r>
      <w:r w:rsidRPr="00E0708A">
        <w:rPr>
          <w:i/>
          <w:iCs/>
        </w:rPr>
        <w:t xml:space="preserve">David </w:t>
      </w:r>
      <w:proofErr w:type="spellStart"/>
      <w:r w:rsidRPr="00E0708A">
        <w:rPr>
          <w:i/>
          <w:iCs/>
        </w:rPr>
        <w:t>Hume</w:t>
      </w:r>
      <w:proofErr w:type="spellEnd"/>
      <w:r>
        <w:t xml:space="preserve"> (1711 – 1776), druhé vyplývá z</w:t>
      </w:r>
      <w:r w:rsidR="003B09C6">
        <w:t xml:space="preserve"> výše zmíněného </w:t>
      </w:r>
      <w:r>
        <w:t xml:space="preserve">přístupu </w:t>
      </w:r>
      <w:r w:rsidRPr="00E0708A">
        <w:rPr>
          <w:i/>
          <w:iCs/>
        </w:rPr>
        <w:t>Immanuela Kanta</w:t>
      </w:r>
      <w:r>
        <w:t xml:space="preserve"> (1724 – </w:t>
      </w:r>
      <w:proofErr w:type="gramStart"/>
      <w:r>
        <w:t>1804) (tamtéž</w:t>
      </w:r>
      <w:proofErr w:type="gramEnd"/>
      <w:r>
        <w:t xml:space="preserve">, s. 206, viz též </w:t>
      </w:r>
      <w:proofErr w:type="spellStart"/>
      <w:r>
        <w:t>Prozerskij</w:t>
      </w:r>
      <w:proofErr w:type="spellEnd"/>
      <w:r>
        <w:t xml:space="preserve">, V. V. 1983, s. 8 – 11).  </w:t>
      </w:r>
    </w:p>
    <w:p w:rsidR="00FE2C7C" w:rsidRDefault="00FE2C7C" w:rsidP="00FE2C7C">
      <w:pPr>
        <w:numPr>
          <w:ilvl w:val="0"/>
          <w:numId w:val="20"/>
        </w:numPr>
        <w:tabs>
          <w:tab w:val="num" w:pos="717"/>
        </w:tabs>
        <w:ind w:hanging="510"/>
      </w:pPr>
      <w:r w:rsidRPr="00110F20">
        <w:rPr>
          <w:b/>
          <w:bCs/>
        </w:rPr>
        <w:t>I</w:t>
      </w:r>
      <w:r>
        <w:rPr>
          <w:b/>
          <w:bCs/>
        </w:rPr>
        <w:t>)</w:t>
      </w:r>
      <w:r>
        <w:t xml:space="preserve"> </w:t>
      </w:r>
      <w:proofErr w:type="spellStart"/>
      <w:r w:rsidRPr="00110F20">
        <w:rPr>
          <w:b/>
          <w:bCs/>
        </w:rPr>
        <w:t>Humov</w:t>
      </w:r>
      <w:r>
        <w:rPr>
          <w:b/>
          <w:bCs/>
        </w:rPr>
        <w:t>o</w:t>
      </w:r>
      <w:proofErr w:type="spellEnd"/>
      <w:r w:rsidRPr="00110F20">
        <w:rPr>
          <w:b/>
          <w:bCs/>
        </w:rPr>
        <w:t xml:space="preserve"> kritérium</w:t>
      </w:r>
      <w:r>
        <w:t xml:space="preserve"> </w:t>
      </w:r>
      <w:r w:rsidR="00F40568">
        <w:t>(</w:t>
      </w:r>
      <w:r w:rsidR="009B047A">
        <w:t xml:space="preserve">viz v tomto textu </w:t>
      </w:r>
      <w:r w:rsidR="00F40568">
        <w:t xml:space="preserve">teze 16 – 19) </w:t>
      </w:r>
      <w:r>
        <w:t xml:space="preserve">vychází z předpokladu, že existuje </w:t>
      </w:r>
      <w:r w:rsidRPr="0008054E">
        <w:rPr>
          <w:i/>
          <w:iCs/>
        </w:rPr>
        <w:t>ideální pozorovatel</w:t>
      </w:r>
      <w:r>
        <w:t>, který lépe než všichni ostatní vnímá estetické, resp. umělecké kvality daného objektu (</w:t>
      </w:r>
      <w:proofErr w:type="spellStart"/>
      <w:r>
        <w:t>Lüdekind</w:t>
      </w:r>
      <w:proofErr w:type="spellEnd"/>
      <w:r>
        <w:t xml:space="preserve">, K. 2003, s. 212 – 213). S tím souvisí koncepce </w:t>
      </w:r>
      <w:r w:rsidRPr="00EF14F5">
        <w:rPr>
          <w:b/>
          <w:i/>
          <w:iCs/>
        </w:rPr>
        <w:t>autority estetického (uměleckého) soudu</w:t>
      </w:r>
      <w:r>
        <w:rPr>
          <w:i/>
          <w:iCs/>
        </w:rPr>
        <w:t xml:space="preserve"> </w:t>
      </w:r>
      <w:r>
        <w:t xml:space="preserve">(srov. Mukařovský 1971 b). Oprávněnost estetického soudu zde vyplývá z jeho </w:t>
      </w:r>
      <w:r w:rsidRPr="00EF14F5">
        <w:rPr>
          <w:b/>
        </w:rPr>
        <w:t>přesvědčovací síly</w:t>
      </w:r>
      <w:r>
        <w:t xml:space="preserve"> v daném lidském společenství. Svým způsobem je </w:t>
      </w:r>
      <w:proofErr w:type="spellStart"/>
      <w:r>
        <w:t>Humova</w:t>
      </w:r>
      <w:proofErr w:type="spellEnd"/>
      <w:r>
        <w:t xml:space="preserve"> koncepce „individualistická“. </w:t>
      </w:r>
      <w:r w:rsidR="00EF14F5">
        <w:t>Tento přístup se v</w:t>
      </w:r>
      <w:r w:rsidR="00C16E3D">
        <w:t xml:space="preserve"> běžné </w:t>
      </w:r>
      <w:r w:rsidR="00EF14F5">
        <w:t>praxi uplatňuje zejména tam, kde se ve skupině lidí vyskytne uznávaný odborník. Proti jeho soudu si málokdo troufne vystoupit</w:t>
      </w:r>
      <w:r w:rsidR="00160533">
        <w:t>,</w:t>
      </w:r>
      <w:r w:rsidR="00EF14F5">
        <w:t xml:space="preserve"> </w:t>
      </w:r>
      <w:r w:rsidR="008653CA">
        <w:t>i když</w:t>
      </w:r>
      <w:r w:rsidR="00EF14F5">
        <w:t xml:space="preserve"> má jiný názor. </w:t>
      </w:r>
      <w:r w:rsidR="00233457">
        <w:t xml:space="preserve">Svým způsobem je </w:t>
      </w:r>
      <w:proofErr w:type="spellStart"/>
      <w:r w:rsidR="00233457">
        <w:t>Humova</w:t>
      </w:r>
      <w:proofErr w:type="spellEnd"/>
      <w:r w:rsidR="00233457">
        <w:t xml:space="preserve"> koncepce „vůdcovská“ nebo „kulturologická“ ve smyslu vlivu autorit na vývoj kulturních preferencí a společenských postojů. </w:t>
      </w:r>
    </w:p>
    <w:p w:rsidR="00FE2C7C" w:rsidRDefault="00FE2C7C" w:rsidP="00FE2C7C">
      <w:pPr>
        <w:numPr>
          <w:ilvl w:val="0"/>
          <w:numId w:val="20"/>
        </w:numPr>
        <w:tabs>
          <w:tab w:val="num" w:pos="717"/>
        </w:tabs>
        <w:ind w:hanging="510"/>
      </w:pPr>
      <w:r>
        <w:t xml:space="preserve">Soud učitele, má-li být legitimní svou vyšší autoritou, by v tomto kontextu měl mít </w:t>
      </w:r>
      <w:r w:rsidRPr="00B95843">
        <w:rPr>
          <w:i/>
          <w:iCs/>
        </w:rPr>
        <w:t>větší</w:t>
      </w:r>
      <w:r>
        <w:t xml:space="preserve"> nárok na platnost nežli soud žáka. </w:t>
      </w:r>
      <w:r w:rsidR="00C84E5D">
        <w:t xml:space="preserve">Pokud by tom tak nebylo, učitel by svou autoritu ztrácel a měnil se v žáka (reálně se to děje např. při nějakém „průlomu“ avantgardy, kdy učitelé </w:t>
      </w:r>
      <w:r w:rsidR="00233457">
        <w:t xml:space="preserve">ztrácejí své pozice </w:t>
      </w:r>
      <w:r w:rsidR="00233457">
        <w:lastRenderedPageBreak/>
        <w:t>– typicky např. v době modernismu)</w:t>
      </w:r>
      <w:r w:rsidR="00C84E5D">
        <w:t xml:space="preserve">. </w:t>
      </w:r>
      <w:proofErr w:type="spellStart"/>
      <w:r w:rsidR="008653CA">
        <w:t>Humovský</w:t>
      </w:r>
      <w:proofErr w:type="spellEnd"/>
      <w:r w:rsidR="00931C07">
        <w:t xml:space="preserve"> přístup je </w:t>
      </w:r>
      <w:r w:rsidR="00C1543E">
        <w:t>příznačný</w:t>
      </w:r>
      <w:r w:rsidR="00931C07">
        <w:t xml:space="preserve"> pro </w:t>
      </w:r>
      <w:r w:rsidR="008653CA" w:rsidRPr="00F40568">
        <w:rPr>
          <w:b/>
        </w:rPr>
        <w:t>naukové</w:t>
      </w:r>
      <w:r w:rsidR="008653CA">
        <w:t xml:space="preserve"> pojetí výtvarné výchovy (</w:t>
      </w:r>
      <w:r w:rsidR="00486D74">
        <w:t xml:space="preserve">např. </w:t>
      </w:r>
      <w:r w:rsidR="008653CA">
        <w:t xml:space="preserve">americká DBAE), která vychází z tendencí klasicismů: autorita je dána zakotvením v „umělém“ řádu kultury. V obecné pedagogice mu </w:t>
      </w:r>
      <w:r w:rsidR="000E75C5">
        <w:t xml:space="preserve">nejlépe </w:t>
      </w:r>
      <w:r w:rsidR="008653CA">
        <w:t xml:space="preserve">odpovídají tzv. </w:t>
      </w:r>
      <w:r w:rsidR="008653CA" w:rsidRPr="000E75C5">
        <w:rPr>
          <w:i/>
        </w:rPr>
        <w:t xml:space="preserve">akademické teorie vzdělávání, </w:t>
      </w:r>
      <w:r w:rsidR="000E75C5" w:rsidRPr="000E75C5">
        <w:rPr>
          <w:i/>
        </w:rPr>
        <w:t>transmisivní koncepce, pedagogický esencialismus</w:t>
      </w:r>
      <w:r w:rsidR="008653CA">
        <w:t xml:space="preserve"> </w:t>
      </w:r>
      <w:r w:rsidR="000E75C5">
        <w:t xml:space="preserve">apod. </w:t>
      </w:r>
      <w:r w:rsidR="008653CA">
        <w:t xml:space="preserve"> </w:t>
      </w:r>
      <w:r>
        <w:t xml:space="preserve"> </w:t>
      </w:r>
    </w:p>
    <w:p w:rsidR="00FE2C7C" w:rsidRDefault="00FE2C7C" w:rsidP="00FE2C7C">
      <w:pPr>
        <w:numPr>
          <w:ilvl w:val="0"/>
          <w:numId w:val="20"/>
        </w:numPr>
        <w:tabs>
          <w:tab w:val="num" w:pos="717"/>
        </w:tabs>
        <w:ind w:hanging="510"/>
      </w:pPr>
      <w:r>
        <w:t>Z </w:t>
      </w:r>
      <w:proofErr w:type="spellStart"/>
      <w:r>
        <w:t>Humova</w:t>
      </w:r>
      <w:proofErr w:type="spellEnd"/>
      <w:r>
        <w:t xml:space="preserve"> pojetí vyplývá </w:t>
      </w:r>
      <w:r w:rsidRPr="00EF14F5">
        <w:rPr>
          <w:b/>
        </w:rPr>
        <w:t>vzdělávací cíl „rozvinout se v ideálního pozorovatele s nejvyšší možnou autoritou v rámci daného kulturního společenství“</w:t>
      </w:r>
      <w:r>
        <w:t xml:space="preserve">. </w:t>
      </w:r>
      <w:r w:rsidR="00EF14F5">
        <w:t>Tento cíl je zajišťován např. tím, že žáci se seznam</w:t>
      </w:r>
      <w:r w:rsidR="00D503E2">
        <w:t>ují</w:t>
      </w:r>
      <w:r w:rsidR="00EF14F5">
        <w:t xml:space="preserve"> s uměleckými díly a tak nabýva</w:t>
      </w:r>
      <w:r w:rsidR="00D503E2">
        <w:t>jí</w:t>
      </w:r>
      <w:r w:rsidR="00EF14F5">
        <w:t xml:space="preserve"> kulturní zkušenost</w:t>
      </w:r>
      <w:r w:rsidR="00D503E2">
        <w:t>, která zjemňuje jejich cit pro smyslovou diferenciaci a rozšiřuje škálu posuzovacích měřítek</w:t>
      </w:r>
      <w:r w:rsidR="00EF14F5">
        <w:t xml:space="preserve">. </w:t>
      </w:r>
    </w:p>
    <w:p w:rsidR="00FE2C7C" w:rsidRDefault="00FE2C7C" w:rsidP="00FE2C7C">
      <w:pPr>
        <w:numPr>
          <w:ilvl w:val="0"/>
          <w:numId w:val="20"/>
        </w:numPr>
        <w:tabs>
          <w:tab w:val="num" w:pos="717"/>
        </w:tabs>
        <w:ind w:hanging="510"/>
      </w:pPr>
      <w:r>
        <w:t>J</w:t>
      </w:r>
      <w:r w:rsidRPr="00F7616B">
        <w:t>e zřejmé</w:t>
      </w:r>
      <w:r>
        <w:t xml:space="preserve">, že reálné testování autority estetických soudů v kontextu </w:t>
      </w:r>
      <w:proofErr w:type="spellStart"/>
      <w:r>
        <w:t>Humova</w:t>
      </w:r>
      <w:proofErr w:type="spellEnd"/>
      <w:r>
        <w:t xml:space="preserve"> pojetí se děje pouze prostřednictvím </w:t>
      </w:r>
      <w:r w:rsidRPr="00F7616B">
        <w:rPr>
          <w:i/>
          <w:iCs/>
        </w:rPr>
        <w:t>dialogu mezi lidmi</w:t>
      </w:r>
      <w:r w:rsidR="00F40568">
        <w:rPr>
          <w:i/>
          <w:iCs/>
        </w:rPr>
        <w:t xml:space="preserve"> a jeho reflexí</w:t>
      </w:r>
      <w:r>
        <w:t xml:space="preserve">. Dialog je nástrojem pro </w:t>
      </w:r>
      <w:r w:rsidRPr="005F08E0">
        <w:rPr>
          <w:i/>
          <w:iCs/>
        </w:rPr>
        <w:t>učení</w:t>
      </w:r>
      <w:r>
        <w:t>, na jehož základě se ve společnosti rozvíjejí a posléze i prosazují osobnosti obecně uznávané jako autority v daném oboru.</w:t>
      </w:r>
    </w:p>
    <w:p w:rsidR="00FE2C7C" w:rsidRDefault="00FE2C7C" w:rsidP="00FE2C7C">
      <w:pPr>
        <w:numPr>
          <w:ilvl w:val="0"/>
          <w:numId w:val="20"/>
        </w:numPr>
        <w:tabs>
          <w:tab w:val="num" w:pos="717"/>
        </w:tabs>
        <w:ind w:hanging="510"/>
      </w:pPr>
      <w:r>
        <w:rPr>
          <w:b/>
          <w:bCs/>
        </w:rPr>
        <w:t xml:space="preserve">II) Kantovo kritérium </w:t>
      </w:r>
      <w:r>
        <w:t xml:space="preserve">vychází z předpokladu, že estetické zalíbení je založeno na </w:t>
      </w:r>
      <w:r w:rsidRPr="0046731A">
        <w:rPr>
          <w:i/>
          <w:iCs/>
        </w:rPr>
        <w:t xml:space="preserve">svobodné hře obrazotvornosti (smyslové představivosti) a rozvažování (intelektuálního rozlišování a </w:t>
      </w:r>
      <w:proofErr w:type="gramStart"/>
      <w:r w:rsidRPr="0046731A">
        <w:rPr>
          <w:i/>
          <w:iCs/>
        </w:rPr>
        <w:t>uspořádávání)</w:t>
      </w:r>
      <w:r>
        <w:rPr>
          <w:i/>
          <w:iCs/>
        </w:rPr>
        <w:t xml:space="preserve"> </w:t>
      </w:r>
      <w:r>
        <w:t>(Kant</w:t>
      </w:r>
      <w:proofErr w:type="gramEnd"/>
      <w:r>
        <w:t xml:space="preserve"> 1975, </w:t>
      </w:r>
      <w:proofErr w:type="spellStart"/>
      <w:r>
        <w:t>Liessmann</w:t>
      </w:r>
      <w:proofErr w:type="spellEnd"/>
      <w:r>
        <w:t xml:space="preserve"> 2000, s. 15 – 26). To znamená, že estetický soud má své oprávnění tehdy, jestliže vskutku vznikl svobodnou hrou obrazotvornosti a rozvažování, která je </w:t>
      </w:r>
      <w:r>
        <w:rPr>
          <w:i/>
          <w:iCs/>
        </w:rPr>
        <w:t xml:space="preserve">pro </w:t>
      </w:r>
      <w:r w:rsidRPr="006C5348">
        <w:rPr>
          <w:i/>
          <w:iCs/>
        </w:rPr>
        <w:t>vše</w:t>
      </w:r>
      <w:r>
        <w:rPr>
          <w:i/>
          <w:iCs/>
        </w:rPr>
        <w:t>chny</w:t>
      </w:r>
      <w:r w:rsidRPr="006C5348">
        <w:rPr>
          <w:i/>
          <w:iCs/>
        </w:rPr>
        <w:t xml:space="preserve"> lid</w:t>
      </w:r>
      <w:r>
        <w:rPr>
          <w:i/>
          <w:iCs/>
        </w:rPr>
        <w:t>i</w:t>
      </w:r>
      <w:r w:rsidRPr="006C5348">
        <w:rPr>
          <w:i/>
          <w:iCs/>
        </w:rPr>
        <w:t xml:space="preserve"> </w:t>
      </w:r>
      <w:r>
        <w:rPr>
          <w:i/>
          <w:iCs/>
        </w:rPr>
        <w:t xml:space="preserve">v principu </w:t>
      </w:r>
      <w:r w:rsidRPr="006C5348">
        <w:rPr>
          <w:i/>
          <w:iCs/>
        </w:rPr>
        <w:t>společná</w:t>
      </w:r>
      <w:r>
        <w:t xml:space="preserve">, protože závisí na </w:t>
      </w:r>
      <w:r w:rsidRPr="00E16863">
        <w:rPr>
          <w:i/>
          <w:iCs/>
        </w:rPr>
        <w:t>obecných lidských schopnostech</w:t>
      </w:r>
      <w:r>
        <w:rPr>
          <w:i/>
          <w:iCs/>
        </w:rPr>
        <w:t xml:space="preserve"> </w:t>
      </w:r>
      <w:r>
        <w:t>(</w:t>
      </w:r>
      <w:proofErr w:type="spellStart"/>
      <w:r>
        <w:t>Lüdekind</w:t>
      </w:r>
      <w:proofErr w:type="spellEnd"/>
      <w:r>
        <w:t>, K. 2003, s. 215). Svým způsobem je Kantova koncepce „</w:t>
      </w:r>
      <w:r w:rsidR="00C24A27">
        <w:t>komunitní</w:t>
      </w:r>
      <w:r>
        <w:t>“</w:t>
      </w:r>
      <w:r w:rsidR="00233457">
        <w:t xml:space="preserve"> nebo „antropologická“ ve smyslu zachování </w:t>
      </w:r>
      <w:r w:rsidR="00A45430">
        <w:t xml:space="preserve">společné lidské </w:t>
      </w:r>
      <w:r w:rsidR="00233457">
        <w:t xml:space="preserve">opory v „antropologické konstantě“, „sociobiologickém základu“, </w:t>
      </w:r>
      <w:r w:rsidR="00931C07">
        <w:t>„boží či přírodní přirozenosti“, „kontaktu s nevědomím“ atd.</w:t>
      </w:r>
      <w:r>
        <w:t xml:space="preserve"> </w:t>
      </w:r>
      <w:r w:rsidR="00C40AF8">
        <w:t xml:space="preserve"> </w:t>
      </w:r>
    </w:p>
    <w:p w:rsidR="00FE2C7C" w:rsidRDefault="00FE2C7C" w:rsidP="00FE2C7C">
      <w:pPr>
        <w:numPr>
          <w:ilvl w:val="0"/>
          <w:numId w:val="20"/>
        </w:numPr>
        <w:tabs>
          <w:tab w:val="num" w:pos="717"/>
        </w:tabs>
        <w:ind w:hanging="510"/>
      </w:pPr>
      <w:r>
        <w:t xml:space="preserve">Soud žáka, pokud by byl legitimní, tj. založený na svobodné hře obrazotvornosti a rozvažování, by v tomto kontextu měl </w:t>
      </w:r>
      <w:r w:rsidRPr="00B95843">
        <w:rPr>
          <w:i/>
          <w:iCs/>
        </w:rPr>
        <w:t>stejný</w:t>
      </w:r>
      <w:r>
        <w:t xml:space="preserve"> nárok na platnost jako soud učitele. </w:t>
      </w:r>
      <w:r w:rsidR="00931C07">
        <w:t xml:space="preserve">Pokud by tomu tak nebylo, hrozilo by nebezpečí „zkostnatělosti“, „odtržení od přirozených prazákladů vnímání a tvorby“ apod. Tento přístup je typický zejména </w:t>
      </w:r>
      <w:proofErr w:type="gramStart"/>
      <w:r w:rsidR="00931C07">
        <w:t xml:space="preserve">pro  </w:t>
      </w:r>
      <w:r w:rsidR="00F62CF5">
        <w:t>všechna</w:t>
      </w:r>
      <w:proofErr w:type="gramEnd"/>
      <w:r w:rsidR="00F62CF5">
        <w:t xml:space="preserve"> </w:t>
      </w:r>
      <w:r w:rsidR="00931C07" w:rsidRPr="00F40568">
        <w:rPr>
          <w:b/>
        </w:rPr>
        <w:t>spontánní</w:t>
      </w:r>
      <w:r w:rsidR="00931C07">
        <w:t xml:space="preserve"> pojetí výtvarné výchovy, kter</w:t>
      </w:r>
      <w:r w:rsidR="00F62CF5">
        <w:t>á</w:t>
      </w:r>
      <w:r w:rsidR="00931C07">
        <w:t xml:space="preserve"> vycház</w:t>
      </w:r>
      <w:r w:rsidR="00F62CF5">
        <w:t>ej</w:t>
      </w:r>
      <w:r w:rsidR="00931C07">
        <w:t>í z romanti</w:t>
      </w:r>
      <w:r w:rsidR="00F62CF5">
        <w:t>zujících</w:t>
      </w:r>
      <w:r w:rsidR="00931C07">
        <w:t xml:space="preserve"> tendencí „obratu k přirozenosti“, „osvobození dítěte v dospělém“ atp. </w:t>
      </w:r>
      <w:r w:rsidR="000E75C5">
        <w:t xml:space="preserve">V obecné pedagogice mu nejlépe odpovídají tzv. </w:t>
      </w:r>
      <w:r w:rsidR="000E75C5" w:rsidRPr="000E75C5">
        <w:rPr>
          <w:i/>
        </w:rPr>
        <w:t>personální (na dítě orientované) koncepce, pedagogický progresivismus</w:t>
      </w:r>
      <w:r w:rsidR="000E75C5">
        <w:t xml:space="preserve"> aj. V krajní podobě jsou to tzv. </w:t>
      </w:r>
      <w:r w:rsidR="000E75C5" w:rsidRPr="000E75C5">
        <w:rPr>
          <w:i/>
        </w:rPr>
        <w:t>autonomní koncepce</w:t>
      </w:r>
      <w:r w:rsidR="000E75C5">
        <w:t xml:space="preserve"> nebo </w:t>
      </w:r>
      <w:proofErr w:type="spellStart"/>
      <w:r w:rsidR="000E75C5" w:rsidRPr="000E75C5">
        <w:rPr>
          <w:i/>
        </w:rPr>
        <w:t>antipedagogika</w:t>
      </w:r>
      <w:proofErr w:type="spellEnd"/>
      <w:r w:rsidR="000E75C5">
        <w:t xml:space="preserve">, kde je velký důraz kladen na aktuální situační </w:t>
      </w:r>
      <w:r w:rsidR="00F62CF5">
        <w:t>kontext</w:t>
      </w:r>
      <w:r w:rsidR="00C40AF8">
        <w:t xml:space="preserve">. Zvláštní zřetel k aktuálnímu kontextu však </w:t>
      </w:r>
      <w:r w:rsidR="00F62CF5">
        <w:t xml:space="preserve">nezřídka vede k překlápění do pozic </w:t>
      </w:r>
      <w:proofErr w:type="spellStart"/>
      <w:r w:rsidR="00F62CF5">
        <w:t>Humovského</w:t>
      </w:r>
      <w:proofErr w:type="spellEnd"/>
      <w:r w:rsidR="00F62CF5">
        <w:t xml:space="preserve"> pojetí v jakési zrcadlové podobě</w:t>
      </w:r>
      <w:r w:rsidR="00C27DC3">
        <w:t>: „jen dítě má pravdu“</w:t>
      </w:r>
      <w:r w:rsidR="00F62CF5">
        <w:t xml:space="preserve">. </w:t>
      </w:r>
      <w:r w:rsidR="000E75C5">
        <w:t xml:space="preserve">  </w:t>
      </w:r>
      <w:r w:rsidR="00931C07">
        <w:t xml:space="preserve">   </w:t>
      </w:r>
      <w:r>
        <w:t xml:space="preserve"> </w:t>
      </w:r>
    </w:p>
    <w:p w:rsidR="00FE2C7C" w:rsidRDefault="00FE2C7C" w:rsidP="00FE2C7C">
      <w:pPr>
        <w:numPr>
          <w:ilvl w:val="0"/>
          <w:numId w:val="20"/>
        </w:numPr>
        <w:tabs>
          <w:tab w:val="num" w:pos="717"/>
        </w:tabs>
        <w:ind w:hanging="510"/>
      </w:pPr>
      <w:r>
        <w:t xml:space="preserve">Z předchozích odstavců vyplývá, že své osobní estetické zalíbení ze svobodné hry obrazotvornosti a rozvažování mohu </w:t>
      </w:r>
      <w:r w:rsidRPr="00F7616B">
        <w:rPr>
          <w:i/>
          <w:iCs/>
        </w:rPr>
        <w:t>oprávněně přisoudit i všem ostatním lidem</w:t>
      </w:r>
      <w:r>
        <w:t xml:space="preserve">, protože u nich předpokládám </w:t>
      </w:r>
      <w:r w:rsidRPr="00F7616B">
        <w:rPr>
          <w:i/>
          <w:iCs/>
        </w:rPr>
        <w:t>stejné schopnosti</w:t>
      </w:r>
      <w:r>
        <w:t xml:space="preserve">, jaké mám já sám. Jinými slovy, subjektivní estetický (umělecký) soud má právo </w:t>
      </w:r>
      <w:r w:rsidRPr="00045F55">
        <w:rPr>
          <w:i/>
          <w:iCs/>
        </w:rPr>
        <w:t>ucházet se</w:t>
      </w:r>
      <w:r>
        <w:t xml:space="preserve"> </w:t>
      </w:r>
      <w:r w:rsidRPr="003F0F42">
        <w:rPr>
          <w:i/>
        </w:rPr>
        <w:t>o všeobecný souhlas</w:t>
      </w:r>
      <w:r>
        <w:t xml:space="preserve">, protože se může odvolávat na důvody, které jsou </w:t>
      </w:r>
      <w:r w:rsidRPr="00FB765D">
        <w:rPr>
          <w:i/>
          <w:iCs/>
        </w:rPr>
        <w:t>pro všechny lidi společné</w:t>
      </w:r>
      <w:r>
        <w:rPr>
          <w:i/>
          <w:iCs/>
        </w:rPr>
        <w:t xml:space="preserve"> </w:t>
      </w:r>
      <w:r>
        <w:t>(</w:t>
      </w:r>
      <w:proofErr w:type="spellStart"/>
      <w:r>
        <w:t>Lüdekind</w:t>
      </w:r>
      <w:proofErr w:type="spellEnd"/>
      <w:r>
        <w:t xml:space="preserve">, K. 2003, s. 215 – 216). </w:t>
      </w:r>
    </w:p>
    <w:p w:rsidR="00FE2C7C" w:rsidRDefault="00FE2C7C" w:rsidP="00FE2C7C">
      <w:pPr>
        <w:numPr>
          <w:ilvl w:val="0"/>
          <w:numId w:val="20"/>
        </w:numPr>
        <w:tabs>
          <w:tab w:val="num" w:pos="717"/>
        </w:tabs>
        <w:ind w:hanging="510"/>
      </w:pPr>
      <w:r>
        <w:t xml:space="preserve">Zda je však uvedená podmínka – tj. vzájemná shoda osobních předpokladů – </w:t>
      </w:r>
      <w:r w:rsidRPr="00045F55">
        <w:rPr>
          <w:i/>
          <w:iCs/>
        </w:rPr>
        <w:t>opravdu splněna</w:t>
      </w:r>
      <w:r>
        <w:t xml:space="preserve"> v každém jednotlivém případě, to nelze empiricky určit, protože neumíme přesně stanovit ani přesně empiricky ověřit soubor vlastností, které podmiňují „svobodnou hru obrazotvornosti a rozvažování“ (</w:t>
      </w:r>
      <w:proofErr w:type="spellStart"/>
      <w:r>
        <w:t>Lüdekind</w:t>
      </w:r>
      <w:proofErr w:type="spellEnd"/>
      <w:r>
        <w:t xml:space="preserve">, K. 2003, s. 216, 217 - 218).  </w:t>
      </w:r>
    </w:p>
    <w:p w:rsidR="00FE2C7C" w:rsidRDefault="00FE2C7C" w:rsidP="00FE2C7C">
      <w:pPr>
        <w:numPr>
          <w:ilvl w:val="0"/>
          <w:numId w:val="20"/>
        </w:numPr>
        <w:tabs>
          <w:tab w:val="num" w:pos="717"/>
        </w:tabs>
        <w:ind w:hanging="510"/>
      </w:pPr>
      <w:r>
        <w:t xml:space="preserve">Z Kantova pojetí vyplývají dva hlavní </w:t>
      </w:r>
      <w:r w:rsidRPr="00F62CF5">
        <w:rPr>
          <w:b/>
        </w:rPr>
        <w:t>vzdělávací cíle: 1) „rozvinout žákovy obecné předpoklady ke svobodné hře obrazotvornosti a ke svobodnému rozvažování“, 2) „nabýt dovednosti k rozpoznávání těchto obecných předpokladů u druhých lidí, resp. u sebe sama“.</w:t>
      </w:r>
      <w:r>
        <w:t xml:space="preserve">   </w:t>
      </w:r>
      <w:r w:rsidRPr="00F7616B">
        <w:t xml:space="preserve">  </w:t>
      </w:r>
    </w:p>
    <w:p w:rsidR="00FE2C7C" w:rsidRDefault="00FE2C7C" w:rsidP="00FE2C7C">
      <w:pPr>
        <w:numPr>
          <w:ilvl w:val="0"/>
          <w:numId w:val="20"/>
        </w:numPr>
        <w:tabs>
          <w:tab w:val="num" w:pos="717"/>
        </w:tabs>
        <w:ind w:hanging="510"/>
      </w:pPr>
      <w:r>
        <w:t xml:space="preserve">V důsledku je opět zřejmé, že reálné testování shody osobních předpokladů se děje pouze prostřednictvím </w:t>
      </w:r>
      <w:r w:rsidRPr="00F7616B">
        <w:rPr>
          <w:i/>
          <w:iCs/>
        </w:rPr>
        <w:t>dialogu mezi lidmi</w:t>
      </w:r>
      <w:r w:rsidR="00F40568">
        <w:rPr>
          <w:i/>
          <w:iCs/>
        </w:rPr>
        <w:t xml:space="preserve"> a jeho reflexí</w:t>
      </w:r>
      <w:r>
        <w:t>. Z n</w:t>
      </w:r>
      <w:r w:rsidR="00843345">
        <w:t>ich</w:t>
      </w:r>
      <w:r>
        <w:t xml:space="preserve"> také vyrůstá poznání toho, jaké vlastnosti jsou obecně uznávány za estetické, tj. za odvozené ze svobodné hry lidské obrazotvornosti a rozvažování.</w:t>
      </w:r>
    </w:p>
    <w:p w:rsidR="00FE2C7C" w:rsidRDefault="00FE2C7C" w:rsidP="00FE2C7C">
      <w:pPr>
        <w:numPr>
          <w:ilvl w:val="0"/>
          <w:numId w:val="20"/>
        </w:numPr>
        <w:tabs>
          <w:tab w:val="num" w:pos="717"/>
        </w:tabs>
        <w:ind w:hanging="510"/>
      </w:pPr>
      <w:r w:rsidRPr="005F677B">
        <w:rPr>
          <w:b/>
          <w:bCs/>
        </w:rPr>
        <w:t>Podmínky estetického (uměleckého) souzení a usuzování</w:t>
      </w:r>
      <w:r>
        <w:t xml:space="preserve">. Podmínkám rozhodování o estetických, resp. uměleckých kvalitách budeme říkat </w:t>
      </w:r>
      <w:r w:rsidRPr="006053E1">
        <w:rPr>
          <w:b/>
          <w:i/>
          <w:iCs/>
        </w:rPr>
        <w:t>kritéria uznání</w:t>
      </w:r>
      <w:r>
        <w:t xml:space="preserve"> (rozuměj: kritéria pro uznání </w:t>
      </w:r>
      <w:r w:rsidRPr="002E461D">
        <w:rPr>
          <w:i/>
          <w:iCs/>
        </w:rPr>
        <w:t>uměleckosti</w:t>
      </w:r>
      <w:r>
        <w:t xml:space="preserve"> </w:t>
      </w:r>
      <w:r w:rsidR="002525DC">
        <w:t xml:space="preserve">či </w:t>
      </w:r>
      <w:r w:rsidR="002525DC" w:rsidRPr="002525DC">
        <w:rPr>
          <w:i/>
        </w:rPr>
        <w:t>relevance estetických kvalit</w:t>
      </w:r>
      <w:r w:rsidR="002525DC">
        <w:t xml:space="preserve"> </w:t>
      </w:r>
      <w:r>
        <w:t xml:space="preserve">posuzovaného předmětu; podle </w:t>
      </w:r>
      <w:proofErr w:type="spellStart"/>
      <w:r>
        <w:t>Weitz</w:t>
      </w:r>
      <w:proofErr w:type="spellEnd"/>
      <w:r>
        <w:t xml:space="preserve">, M. </w:t>
      </w:r>
      <w:r>
        <w:lastRenderedPageBreak/>
        <w:t xml:space="preserve">2003, s. 85, srov. Slavík, J. 2001, s. 206, s. 177 – 213, Goodman, N. 1996, s. 70 – 83). Souhrnu </w:t>
      </w:r>
      <w:r w:rsidRPr="00D13B7B">
        <w:rPr>
          <w:i/>
          <w:iCs/>
        </w:rPr>
        <w:t>všech</w:t>
      </w:r>
      <w:r>
        <w:t xml:space="preserve"> těchto kritérií budeme říkat </w:t>
      </w:r>
      <w:r w:rsidRPr="00613E49">
        <w:rPr>
          <w:i/>
          <w:iCs/>
        </w:rPr>
        <w:t>obor</w:t>
      </w:r>
      <w:r>
        <w:t xml:space="preserve"> kritérií uznání (pojem „obor“ viz </w:t>
      </w:r>
      <w:r w:rsidR="00C56D78">
        <w:t>později</w:t>
      </w:r>
      <w:r>
        <w:t xml:space="preserve">). </w:t>
      </w:r>
    </w:p>
    <w:p w:rsidR="00FE2C7C" w:rsidRDefault="00FE2C7C" w:rsidP="00FE2C7C">
      <w:pPr>
        <w:numPr>
          <w:ilvl w:val="0"/>
          <w:numId w:val="20"/>
        </w:numPr>
        <w:tabs>
          <w:tab w:val="num" w:pos="717"/>
        </w:tabs>
        <w:ind w:hanging="510"/>
      </w:pPr>
      <w:r w:rsidRPr="00E96F12">
        <w:rPr>
          <w:i/>
          <w:iCs/>
        </w:rPr>
        <w:t xml:space="preserve">Výběr </w:t>
      </w:r>
      <w:r>
        <w:t xml:space="preserve">kritérií uznání i jejich </w:t>
      </w:r>
      <w:r w:rsidRPr="002D5E08">
        <w:rPr>
          <w:i/>
          <w:iCs/>
        </w:rPr>
        <w:t>váha</w:t>
      </w:r>
      <w:r>
        <w:t xml:space="preserve"> při rozhodování se případ od případu mění v závislosti na </w:t>
      </w:r>
      <w:r w:rsidRPr="002842A8">
        <w:rPr>
          <w:i/>
          <w:iCs/>
        </w:rPr>
        <w:t>kontextu posuzování</w:t>
      </w:r>
      <w:r>
        <w:t xml:space="preserve"> (</w:t>
      </w:r>
      <w:proofErr w:type="spellStart"/>
      <w:r>
        <w:t>Weitz</w:t>
      </w:r>
      <w:proofErr w:type="spellEnd"/>
      <w:r>
        <w:t xml:space="preserve">, M. tamtéž, Goodman, N. 1996, s. 70 – 83, Slavík, J. 2001, s. 206, s. 177 – 213). Z toho plyne, že výroky v estetickém popisování, usuzování a zdůvodňování zpravidla nelze opírat o </w:t>
      </w:r>
      <w:r w:rsidRPr="002E461D">
        <w:t>absolutní</w:t>
      </w:r>
      <w:r>
        <w:t xml:space="preserve"> stanovení </w:t>
      </w:r>
      <w:r w:rsidRPr="00DD5CAC">
        <w:rPr>
          <w:i/>
          <w:iCs/>
        </w:rPr>
        <w:t>nutných a postačujících podmínek</w:t>
      </w:r>
      <w:r>
        <w:t>, za nichž má výrok být platný (</w:t>
      </w:r>
      <w:proofErr w:type="spellStart"/>
      <w:r>
        <w:t>Weitz</w:t>
      </w:r>
      <w:proofErr w:type="spellEnd"/>
      <w:r>
        <w:t xml:space="preserve">, M. 2003, s. 85 – 88). V souhrnu to znamená, že výběr a váha kritérií uznání jsou </w:t>
      </w:r>
      <w:r w:rsidRPr="00613E49">
        <w:rPr>
          <w:i/>
          <w:iCs/>
        </w:rPr>
        <w:t>relativní</w:t>
      </w:r>
      <w:r>
        <w:t xml:space="preserve">: nelze s úplnou jistotou </w:t>
      </w:r>
      <w:r w:rsidRPr="002D5E08">
        <w:rPr>
          <w:i/>
          <w:iCs/>
        </w:rPr>
        <w:t>předem</w:t>
      </w:r>
      <w:r>
        <w:t xml:space="preserve"> rozhodnout, která kritéria, v jakém počtu a s jakou vahou se v daném případě uplatní (Slavík, J. 2004, s. 155 – 159). Předem lze určovat pouze to, jaká kritéria uznání můžeme, ale případ od případu nemusíme, brát v úvahu. </w:t>
      </w:r>
    </w:p>
    <w:p w:rsidR="00FE2C7C" w:rsidRDefault="00FE2C7C" w:rsidP="00FE2C7C">
      <w:pPr>
        <w:numPr>
          <w:ilvl w:val="0"/>
          <w:numId w:val="20"/>
        </w:numPr>
        <w:tabs>
          <w:tab w:val="num" w:pos="717"/>
        </w:tabs>
        <w:ind w:hanging="510"/>
      </w:pPr>
      <w:r>
        <w:t xml:space="preserve">Rozhodnutí o zařazení posuzovaného estetického (uměleckého) objektu do určité klasifikační třídy (odpověď na otázku „co to je?“) nebo jeho zařazení na hodnotící škále (odpověď na otázku „jak to působí?“) závisí na </w:t>
      </w:r>
      <w:r>
        <w:rPr>
          <w:i/>
          <w:iCs/>
        </w:rPr>
        <w:t>přijatelné</w:t>
      </w:r>
      <w:r w:rsidRPr="004A2B44">
        <w:rPr>
          <w:i/>
          <w:iCs/>
        </w:rPr>
        <w:t xml:space="preserve"> </w:t>
      </w:r>
      <w:r>
        <w:rPr>
          <w:i/>
          <w:iCs/>
        </w:rPr>
        <w:t xml:space="preserve">míře </w:t>
      </w:r>
      <w:r w:rsidRPr="004A2B44">
        <w:rPr>
          <w:i/>
          <w:iCs/>
        </w:rPr>
        <w:t>podobnosti</w:t>
      </w:r>
      <w:r>
        <w:rPr>
          <w:i/>
          <w:iCs/>
        </w:rPr>
        <w:t xml:space="preserve"> </w:t>
      </w:r>
      <w:r>
        <w:t xml:space="preserve">vzhledem k reprezentantům dané třídy nebo škály (podle </w:t>
      </w:r>
      <w:proofErr w:type="spellStart"/>
      <w:r>
        <w:t>Weitz</w:t>
      </w:r>
      <w:proofErr w:type="spellEnd"/>
      <w:r>
        <w:t>, M. 2003, s. 85)</w:t>
      </w:r>
      <w:r w:rsidRPr="004A2B44">
        <w:t>.</w:t>
      </w:r>
      <w:r>
        <w:rPr>
          <w:i/>
          <w:iCs/>
        </w:rPr>
        <w:t xml:space="preserve"> </w:t>
      </w:r>
      <w:r>
        <w:t xml:space="preserve">Přijatelná míra podobnosti je zvažována v závislosti na kontextu posuzování a je zapotřebí se o ní mezi posuzovateli </w:t>
      </w:r>
      <w:r w:rsidRPr="003B12AD">
        <w:rPr>
          <w:i/>
          <w:iCs/>
        </w:rPr>
        <w:t>doh</w:t>
      </w:r>
      <w:r>
        <w:rPr>
          <w:i/>
          <w:iCs/>
        </w:rPr>
        <w:t>a</w:t>
      </w:r>
      <w:r w:rsidRPr="003B12AD">
        <w:rPr>
          <w:i/>
          <w:iCs/>
        </w:rPr>
        <w:t>do</w:t>
      </w:r>
      <w:r>
        <w:rPr>
          <w:i/>
          <w:iCs/>
        </w:rPr>
        <w:t>va</w:t>
      </w:r>
      <w:r w:rsidRPr="003B12AD">
        <w:rPr>
          <w:i/>
          <w:iCs/>
        </w:rPr>
        <w:t>t</w:t>
      </w:r>
      <w:r>
        <w:t xml:space="preserve">.      </w:t>
      </w:r>
    </w:p>
    <w:p w:rsidR="008E1767" w:rsidRDefault="00FE2C7C" w:rsidP="00FE2C7C">
      <w:pPr>
        <w:numPr>
          <w:ilvl w:val="0"/>
          <w:numId w:val="20"/>
        </w:numPr>
        <w:ind w:hanging="510"/>
      </w:pPr>
      <w:r w:rsidRPr="00333268">
        <w:rPr>
          <w:b/>
          <w:bCs/>
        </w:rPr>
        <w:t>Zvláštnosti pojmů</w:t>
      </w:r>
      <w:r>
        <w:t xml:space="preserve">.  Pojmy používané při zdůvodňování estetických soudů nezřídka mají </w:t>
      </w:r>
      <w:r w:rsidRPr="00095116">
        <w:rPr>
          <w:i/>
          <w:iCs/>
        </w:rPr>
        <w:t>zvláštní kvalitu</w:t>
      </w:r>
      <w:r>
        <w:t xml:space="preserve"> – metafory, přirovnání, podobenství atd. Nebo jsou </w:t>
      </w:r>
      <w:r w:rsidRPr="00095116">
        <w:rPr>
          <w:i/>
          <w:iCs/>
        </w:rPr>
        <w:t>užívány zvláštním způsobem a ve zvláštních souvislostech</w:t>
      </w:r>
      <w:r>
        <w:t xml:space="preserve"> – kontrasty, srovnání, reminiscence aj. (</w:t>
      </w:r>
      <w:proofErr w:type="spellStart"/>
      <w:r>
        <w:t>Sibley</w:t>
      </w:r>
      <w:proofErr w:type="spellEnd"/>
      <w:r>
        <w:t xml:space="preserve">, F. 2003, s. 23 – 45, Walton, K. 2003, s. 49 – 76). </w:t>
      </w:r>
      <w:r w:rsidRPr="00EE10AC">
        <w:rPr>
          <w:b/>
          <w:highlight w:val="yellow"/>
        </w:rPr>
        <w:t>Přesto v</w:t>
      </w:r>
      <w:r w:rsidR="00722CCA" w:rsidRPr="00EE10AC">
        <w:rPr>
          <w:b/>
          <w:highlight w:val="yellow"/>
        </w:rPr>
        <w:t xml:space="preserve">e všech </w:t>
      </w:r>
      <w:r w:rsidRPr="00EE10AC">
        <w:rPr>
          <w:b/>
          <w:highlight w:val="yellow"/>
        </w:rPr>
        <w:t xml:space="preserve">takových případech lze při obsahové a strukturální analýze případ od případu odhalovat </w:t>
      </w:r>
      <w:r w:rsidR="00722CCA" w:rsidRPr="00EE10AC">
        <w:rPr>
          <w:b/>
          <w:highlight w:val="yellow"/>
        </w:rPr>
        <w:t xml:space="preserve">a podrobit rozboru </w:t>
      </w:r>
      <w:r w:rsidRPr="00EE10AC">
        <w:rPr>
          <w:b/>
          <w:highlight w:val="yellow"/>
        </w:rPr>
        <w:t>logické základy popisné nebo hodnotící výpovědi.</w:t>
      </w:r>
      <w:r>
        <w:t xml:space="preserve">     </w:t>
      </w:r>
      <w:r>
        <w:rPr>
          <w:i/>
          <w:iCs/>
        </w:rPr>
        <w:t xml:space="preserve"> </w:t>
      </w:r>
      <w:r>
        <w:t xml:space="preserve"> </w:t>
      </w:r>
      <w:r w:rsidRPr="000210EE">
        <w:t xml:space="preserve"> </w:t>
      </w:r>
    </w:p>
    <w:p w:rsidR="0054651F" w:rsidRDefault="0054651F" w:rsidP="00FE2C7C">
      <w:pPr>
        <w:numPr>
          <w:ilvl w:val="0"/>
          <w:numId w:val="20"/>
        </w:numPr>
        <w:ind w:hanging="510"/>
      </w:pPr>
      <w:r>
        <w:t xml:space="preserve">Zvláštnost esteticky relevantních pojmů je kromě uvedeného založena na často přehlíženém faktu, že </w:t>
      </w:r>
      <w:r w:rsidRPr="00EE10AC">
        <w:rPr>
          <w:highlight w:val="yellow"/>
        </w:rPr>
        <w:t xml:space="preserve">pojmy, které vyjadřují estetické soudy, </w:t>
      </w:r>
      <w:r w:rsidRPr="00EE10AC">
        <w:rPr>
          <w:i/>
          <w:highlight w:val="yellow"/>
        </w:rPr>
        <w:t>nejsou jednomístnými predikáty</w:t>
      </w:r>
      <w:r w:rsidRPr="00EE10AC">
        <w:rPr>
          <w:highlight w:val="yellow"/>
        </w:rPr>
        <w:t xml:space="preserve">, ale jsou to </w:t>
      </w:r>
      <w:r w:rsidRPr="00EE10AC">
        <w:rPr>
          <w:b/>
          <w:highlight w:val="yellow"/>
        </w:rPr>
        <w:t>vícemístné relace</w:t>
      </w:r>
      <w:r w:rsidRPr="00EE10AC">
        <w:rPr>
          <w:highlight w:val="yellow"/>
        </w:rPr>
        <w:t>. Estetické vlastnosti daného objektu totiž vždycky posuzujeme ve vztahu k určité kategorii (množně) objektů, se kterou příslušný objekt srovnáváme.</w:t>
      </w:r>
      <w:r>
        <w:t xml:space="preserve"> Např. tvrdíme-li, že </w:t>
      </w:r>
      <w:proofErr w:type="spellStart"/>
      <w:r w:rsidR="003F6484" w:rsidRPr="003F6484">
        <w:rPr>
          <w:i/>
        </w:rPr>
        <w:t>Tádž</w:t>
      </w:r>
      <w:proofErr w:type="spellEnd"/>
      <w:r w:rsidR="003F6484" w:rsidRPr="003F6484">
        <w:rPr>
          <w:i/>
        </w:rPr>
        <w:t xml:space="preserve"> </w:t>
      </w:r>
      <w:proofErr w:type="spellStart"/>
      <w:r w:rsidR="003F6484" w:rsidRPr="003F6484">
        <w:rPr>
          <w:i/>
        </w:rPr>
        <w:t>Mahal</w:t>
      </w:r>
      <w:proofErr w:type="spellEnd"/>
      <w:r w:rsidR="003F6484">
        <w:t xml:space="preserve"> je krásný, míníme tím, že je krásný jako jeden z představitelů děl architektury</w:t>
      </w:r>
      <w:r w:rsidR="00570DFF">
        <w:t>, které jsme kdy viděli a mohli posuzovat</w:t>
      </w:r>
      <w:r w:rsidR="003F6484">
        <w:t xml:space="preserve"> (</w:t>
      </w:r>
      <w:r w:rsidR="00570DFF">
        <w:t xml:space="preserve">M. </w:t>
      </w:r>
      <w:proofErr w:type="spellStart"/>
      <w:r w:rsidR="00570DFF">
        <w:t>Sagoff</w:t>
      </w:r>
      <w:proofErr w:type="spellEnd"/>
      <w:r w:rsidR="003F6484">
        <w:t xml:space="preserve"> </w:t>
      </w:r>
      <w:r w:rsidR="00570DFF">
        <w:t xml:space="preserve">in </w:t>
      </w:r>
      <w:r w:rsidR="003F6484">
        <w:t>Kulka 2004, s. 70 – 7</w:t>
      </w:r>
      <w:r w:rsidR="00074492">
        <w:t>5</w:t>
      </w:r>
      <w:r w:rsidR="003F6484">
        <w:t xml:space="preserve">, 101). </w:t>
      </w:r>
      <w:r w:rsidR="00570DFF">
        <w:t xml:space="preserve">Nadto bereme v úvahu i odpovídající </w:t>
      </w:r>
      <w:r w:rsidR="00570DFF" w:rsidRPr="00570DFF">
        <w:rPr>
          <w:b/>
        </w:rPr>
        <w:t>styl</w:t>
      </w:r>
      <w:r w:rsidR="00570DFF">
        <w:rPr>
          <w:b/>
        </w:rPr>
        <w:t>, tj. třídu děl sdružených shodnými vlastnostmi na podkladě určitého uznávaného pravidla</w:t>
      </w:r>
      <w:r w:rsidR="00074492">
        <w:rPr>
          <w:b/>
        </w:rPr>
        <w:t xml:space="preserve"> </w:t>
      </w:r>
      <w:r w:rsidR="00074492" w:rsidRPr="00074492">
        <w:t>(</w:t>
      </w:r>
      <w:r w:rsidR="00074492">
        <w:t xml:space="preserve">srov. </w:t>
      </w:r>
      <w:r w:rsidR="00074492" w:rsidRPr="00074492">
        <w:t>Slavík</w:t>
      </w:r>
      <w:r w:rsidR="00074492">
        <w:rPr>
          <w:b/>
          <w:i/>
        </w:rPr>
        <w:t xml:space="preserve"> </w:t>
      </w:r>
      <w:r w:rsidR="00074492">
        <w:t xml:space="preserve">2001, s. 235 – 238). </w:t>
      </w:r>
      <w:r w:rsidR="004123E7">
        <w:t>V souhrnu to znamená</w:t>
      </w:r>
      <w:r w:rsidR="007113D0">
        <w:t xml:space="preserve">, </w:t>
      </w:r>
      <w:r w:rsidR="00460DC1">
        <w:t xml:space="preserve">že </w:t>
      </w:r>
      <w:r w:rsidR="007113D0" w:rsidRPr="00EE10AC">
        <w:rPr>
          <w:b/>
          <w:highlight w:val="yellow"/>
        </w:rPr>
        <w:t xml:space="preserve">estetické pojmy mají </w:t>
      </w:r>
      <w:r w:rsidR="004123E7" w:rsidRPr="00EE10AC">
        <w:rPr>
          <w:b/>
          <w:highlight w:val="yellow"/>
        </w:rPr>
        <w:t xml:space="preserve">individuálně a skupinově </w:t>
      </w:r>
      <w:r w:rsidR="009638B4" w:rsidRPr="00EE10AC">
        <w:rPr>
          <w:b/>
          <w:highlight w:val="yellow"/>
        </w:rPr>
        <w:t>různý rozsah (extensi) v závislosti na (a) osobní smyslové zkušenosti subjektu s odpovídajícími objekty (co všechno jsem již poznal), (b) kulturní a společenské konvenci (co jsem se k poznanému dozvěděl), (c) osobních dispozicích, které jsou dílem společné všem lidem (antropologická konstanta), dílem jsou subjektivně jedinečné (talent)</w:t>
      </w:r>
      <w:r w:rsidR="009638B4" w:rsidRPr="00EE10AC">
        <w:rPr>
          <w:highlight w:val="yellow"/>
        </w:rPr>
        <w:t>.</w:t>
      </w:r>
      <w:r w:rsidR="009638B4">
        <w:t xml:space="preserve">     </w:t>
      </w:r>
      <w:r w:rsidR="00074492">
        <w:t xml:space="preserve"> </w:t>
      </w:r>
      <w:r w:rsidR="00074492">
        <w:rPr>
          <w:b/>
          <w:i/>
        </w:rPr>
        <w:t xml:space="preserve"> </w:t>
      </w:r>
      <w:r w:rsidR="00570DFF">
        <w:rPr>
          <w:b/>
        </w:rPr>
        <w:t xml:space="preserve"> </w:t>
      </w:r>
      <w:r w:rsidR="00570DFF">
        <w:t xml:space="preserve"> </w:t>
      </w:r>
      <w:r>
        <w:t xml:space="preserve">    </w:t>
      </w:r>
    </w:p>
    <w:p w:rsidR="00631F08" w:rsidRDefault="00631F08">
      <w:pPr>
        <w:rPr>
          <w:u w:val="single"/>
        </w:rPr>
      </w:pPr>
      <w:r w:rsidRPr="00631F08">
        <w:rPr>
          <w:u w:val="single"/>
        </w:rPr>
        <w:t>Literatura</w:t>
      </w:r>
      <w:r w:rsidR="00722CCA">
        <w:rPr>
          <w:u w:val="single"/>
        </w:rPr>
        <w:t xml:space="preserve"> k přečtení</w:t>
      </w:r>
    </w:p>
    <w:p w:rsidR="006A7EE0" w:rsidRPr="006A7EE0" w:rsidRDefault="006A7EE0" w:rsidP="00E9072B">
      <w:r>
        <w:t xml:space="preserve">BOURRIAUD, N. </w:t>
      </w:r>
      <w:r>
        <w:rPr>
          <w:i/>
        </w:rPr>
        <w:t>Postprodukce</w:t>
      </w:r>
      <w:r>
        <w:t xml:space="preserve">. </w:t>
      </w:r>
      <w:proofErr w:type="gramStart"/>
      <w:r>
        <w:t>Praha : Tranzit</w:t>
      </w:r>
      <w:proofErr w:type="gramEnd"/>
      <w:r>
        <w:t>, 2004. ISBN 80-903452-0-4</w:t>
      </w:r>
    </w:p>
    <w:p w:rsidR="006053E1" w:rsidRPr="001B519B" w:rsidRDefault="006053E1" w:rsidP="006053E1">
      <w:pPr>
        <w:rPr>
          <w:snapToGrid w:val="0"/>
        </w:rPr>
      </w:pPr>
      <w:r w:rsidRPr="001B519B">
        <w:rPr>
          <w:snapToGrid w:val="0"/>
        </w:rPr>
        <w:t xml:space="preserve">GOODMAN, N. </w:t>
      </w:r>
      <w:r w:rsidRPr="001B519B">
        <w:rPr>
          <w:i/>
          <w:iCs/>
          <w:snapToGrid w:val="0"/>
        </w:rPr>
        <w:t>Způsoby světa-tvorby.</w:t>
      </w:r>
      <w:r w:rsidRPr="001B519B">
        <w:rPr>
          <w:snapToGrid w:val="0"/>
        </w:rPr>
        <w:t xml:space="preserve"> </w:t>
      </w:r>
      <w:proofErr w:type="gramStart"/>
      <w:r w:rsidRPr="001B519B">
        <w:rPr>
          <w:snapToGrid w:val="0"/>
        </w:rPr>
        <w:t>Bratislava : Archa</w:t>
      </w:r>
      <w:proofErr w:type="gramEnd"/>
      <w:r w:rsidRPr="001B519B">
        <w:rPr>
          <w:snapToGrid w:val="0"/>
        </w:rPr>
        <w:t xml:space="preserve"> 1996. ISBN 80-7115-120-3</w:t>
      </w:r>
    </w:p>
    <w:p w:rsidR="001C5767" w:rsidRPr="001C5767" w:rsidRDefault="001C5767" w:rsidP="001C5767">
      <w:r w:rsidRPr="001C5767">
        <w:t xml:space="preserve">GOODMAN, N.; ELGIN, C. Z. </w:t>
      </w:r>
      <w:proofErr w:type="spellStart"/>
      <w:r w:rsidRPr="001C5767">
        <w:rPr>
          <w:i/>
          <w:iCs/>
        </w:rPr>
        <w:t>Reconceptions</w:t>
      </w:r>
      <w:proofErr w:type="spellEnd"/>
      <w:r w:rsidRPr="001C5767">
        <w:rPr>
          <w:i/>
          <w:iCs/>
        </w:rPr>
        <w:t xml:space="preserve"> in </w:t>
      </w:r>
      <w:proofErr w:type="spellStart"/>
      <w:r w:rsidRPr="001C5767">
        <w:rPr>
          <w:i/>
          <w:iCs/>
        </w:rPr>
        <w:t>Philosophy</w:t>
      </w:r>
      <w:proofErr w:type="spellEnd"/>
      <w:r w:rsidRPr="001C5767">
        <w:rPr>
          <w:i/>
          <w:iCs/>
        </w:rPr>
        <w:t xml:space="preserve"> and </w:t>
      </w:r>
      <w:proofErr w:type="spellStart"/>
      <w:r w:rsidRPr="001C5767">
        <w:rPr>
          <w:i/>
          <w:iCs/>
        </w:rPr>
        <w:t>Other</w:t>
      </w:r>
      <w:proofErr w:type="spellEnd"/>
      <w:r w:rsidRPr="001C5767">
        <w:rPr>
          <w:i/>
          <w:iCs/>
        </w:rPr>
        <w:t xml:space="preserve"> </w:t>
      </w:r>
      <w:proofErr w:type="spellStart"/>
      <w:r w:rsidRPr="001C5767">
        <w:rPr>
          <w:i/>
          <w:iCs/>
        </w:rPr>
        <w:t>Arts</w:t>
      </w:r>
      <w:proofErr w:type="spellEnd"/>
      <w:r w:rsidRPr="001C5767">
        <w:rPr>
          <w:i/>
          <w:iCs/>
        </w:rPr>
        <w:t xml:space="preserve"> and </w:t>
      </w:r>
      <w:proofErr w:type="spellStart"/>
      <w:r w:rsidRPr="001C5767">
        <w:rPr>
          <w:i/>
          <w:iCs/>
        </w:rPr>
        <w:t>Sciences</w:t>
      </w:r>
      <w:proofErr w:type="spellEnd"/>
      <w:r w:rsidRPr="001C5767">
        <w:t xml:space="preserve">. </w:t>
      </w:r>
      <w:proofErr w:type="gramStart"/>
      <w:r w:rsidRPr="001C5767">
        <w:t xml:space="preserve">London : </w:t>
      </w:r>
      <w:proofErr w:type="spellStart"/>
      <w:r w:rsidRPr="001C5767">
        <w:t>Routledge</w:t>
      </w:r>
      <w:proofErr w:type="spellEnd"/>
      <w:proofErr w:type="gramEnd"/>
      <w:r w:rsidRPr="001C5767">
        <w:t xml:space="preserve"> 1988. ISBN 0-415-00813-1</w:t>
      </w:r>
    </w:p>
    <w:p w:rsidR="00E9072B" w:rsidRPr="00E9072B" w:rsidRDefault="00E9072B" w:rsidP="00E9072B">
      <w:r w:rsidRPr="00E9072B">
        <w:t xml:space="preserve">INGARDEN, R. (2003) Fenomenologická estetika. In </w:t>
      </w:r>
      <w:r w:rsidRPr="00E9072B">
        <w:rPr>
          <w:i/>
          <w:iCs/>
        </w:rPr>
        <w:t>Umění, krása, šeredno</w:t>
      </w:r>
      <w:r w:rsidRPr="00E9072B">
        <w:t>. Zuska, V. (</w:t>
      </w:r>
      <w:proofErr w:type="spellStart"/>
      <w:r w:rsidRPr="00E9072B">
        <w:t>ed</w:t>
      </w:r>
      <w:proofErr w:type="spellEnd"/>
      <w:r w:rsidRPr="00E9072B">
        <w:t xml:space="preserve">.). </w:t>
      </w:r>
      <w:proofErr w:type="gramStart"/>
      <w:r w:rsidRPr="00E9072B">
        <w:t>Praha : Karolinum</w:t>
      </w:r>
      <w:proofErr w:type="gramEnd"/>
      <w:r w:rsidRPr="00E9072B">
        <w:t xml:space="preserve">, 2003, s. 225 – 246. ISBN 80-246-0540-6 </w:t>
      </w:r>
    </w:p>
    <w:p w:rsidR="00E9072B" w:rsidRDefault="00E9072B" w:rsidP="00E9072B">
      <w:r w:rsidRPr="00E9072B">
        <w:t xml:space="preserve">KANT, I. (1975) </w:t>
      </w:r>
      <w:r w:rsidRPr="00E9072B">
        <w:rPr>
          <w:i/>
          <w:iCs/>
        </w:rPr>
        <w:t>Kritika soudnosti</w:t>
      </w:r>
      <w:r w:rsidRPr="00E9072B">
        <w:t xml:space="preserve">. </w:t>
      </w:r>
      <w:proofErr w:type="gramStart"/>
      <w:r w:rsidRPr="00E9072B">
        <w:t>Praha : Odeon</w:t>
      </w:r>
      <w:proofErr w:type="gramEnd"/>
      <w:r w:rsidRPr="00E9072B">
        <w:t xml:space="preserve"> 1975.</w:t>
      </w:r>
    </w:p>
    <w:p w:rsidR="003F6484" w:rsidRPr="003F6484" w:rsidRDefault="003F6484" w:rsidP="00E9072B">
      <w:r>
        <w:t xml:space="preserve">KULKA, T. (2004) </w:t>
      </w:r>
      <w:r>
        <w:rPr>
          <w:i/>
        </w:rPr>
        <w:t xml:space="preserve">Umění a falzum. Monismus a dualismus v estetice. </w:t>
      </w:r>
      <w:proofErr w:type="gramStart"/>
      <w:r>
        <w:t>Praha : Academia</w:t>
      </w:r>
      <w:proofErr w:type="gramEnd"/>
      <w:r>
        <w:t xml:space="preserve">, 2004. ISBN 80-200-0954-X </w:t>
      </w:r>
    </w:p>
    <w:p w:rsidR="003B6347" w:rsidRDefault="003B6347" w:rsidP="00EE041A">
      <w:r>
        <w:rPr>
          <w:snapToGrid w:val="0"/>
        </w:rPr>
        <w:t xml:space="preserve">LÜDEKIND, K. (2003) </w:t>
      </w:r>
      <w:r w:rsidRPr="00E611C6">
        <w:rPr>
          <w:snapToGrid w:val="0"/>
        </w:rPr>
        <w:t>Vnímání a zalíbení</w:t>
      </w:r>
      <w:r>
        <w:rPr>
          <w:snapToGrid w:val="0"/>
        </w:rPr>
        <w:t xml:space="preserve">. </w:t>
      </w:r>
      <w:r>
        <w:t xml:space="preserve">In </w:t>
      </w:r>
      <w:r w:rsidRPr="002A084F">
        <w:rPr>
          <w:i/>
          <w:iCs/>
        </w:rPr>
        <w:t>Umění, krása, šeredno</w:t>
      </w:r>
      <w:r>
        <w:t>. Zuska, V. (</w:t>
      </w:r>
      <w:proofErr w:type="spellStart"/>
      <w:r>
        <w:t>ed</w:t>
      </w:r>
      <w:proofErr w:type="spellEnd"/>
      <w:r>
        <w:t xml:space="preserve">.). </w:t>
      </w:r>
      <w:proofErr w:type="gramStart"/>
      <w:r>
        <w:t>Praha : Karolinum</w:t>
      </w:r>
      <w:proofErr w:type="gramEnd"/>
      <w:r>
        <w:t>, 2003, s. 205 – 221. ISBN 80-246-0540-6</w:t>
      </w:r>
    </w:p>
    <w:p w:rsidR="00EE041A" w:rsidRPr="00EE041A" w:rsidRDefault="00EE041A" w:rsidP="00EE041A">
      <w:r w:rsidRPr="00EE041A">
        <w:t xml:space="preserve">PROZERSKIJ, V. V. (1983) </w:t>
      </w:r>
      <w:proofErr w:type="spellStart"/>
      <w:r w:rsidRPr="00EE041A">
        <w:rPr>
          <w:i/>
          <w:iCs/>
        </w:rPr>
        <w:t>Kritičeskij</w:t>
      </w:r>
      <w:proofErr w:type="spellEnd"/>
      <w:r w:rsidRPr="00EE041A">
        <w:rPr>
          <w:i/>
          <w:iCs/>
        </w:rPr>
        <w:t xml:space="preserve"> </w:t>
      </w:r>
      <w:proofErr w:type="spellStart"/>
      <w:r w:rsidRPr="00EE041A">
        <w:rPr>
          <w:i/>
          <w:iCs/>
        </w:rPr>
        <w:t>očerk</w:t>
      </w:r>
      <w:proofErr w:type="spellEnd"/>
      <w:r w:rsidRPr="00EE041A">
        <w:rPr>
          <w:i/>
          <w:iCs/>
        </w:rPr>
        <w:t xml:space="preserve"> estetiky </w:t>
      </w:r>
      <w:proofErr w:type="spellStart"/>
      <w:r w:rsidRPr="00EE041A">
        <w:rPr>
          <w:i/>
          <w:iCs/>
        </w:rPr>
        <w:t>emotivizma</w:t>
      </w:r>
      <w:proofErr w:type="spellEnd"/>
      <w:r w:rsidRPr="00EE041A">
        <w:t xml:space="preserve">. </w:t>
      </w:r>
      <w:proofErr w:type="gramStart"/>
      <w:r w:rsidRPr="00EE041A">
        <w:t xml:space="preserve">Moskva : </w:t>
      </w:r>
      <w:proofErr w:type="spellStart"/>
      <w:r w:rsidRPr="00EE041A">
        <w:t>Isskustvo</w:t>
      </w:r>
      <w:proofErr w:type="spellEnd"/>
      <w:proofErr w:type="gramEnd"/>
      <w:r w:rsidRPr="00EE041A">
        <w:t xml:space="preserve">, 1983. </w:t>
      </w:r>
    </w:p>
    <w:p w:rsidR="00635978" w:rsidRPr="00635978" w:rsidRDefault="00635978" w:rsidP="00635978">
      <w:r w:rsidRPr="00635978">
        <w:t>SLAVÍK, J. (1997)</w:t>
      </w:r>
      <w:r w:rsidRPr="00635978">
        <w:rPr>
          <w:i/>
          <w:iCs/>
        </w:rPr>
        <w:t xml:space="preserve"> Od výrazu k dialogu ve výchově - Artefiletika.</w:t>
      </w:r>
      <w:r w:rsidRPr="00635978">
        <w:t xml:space="preserve"> </w:t>
      </w:r>
      <w:proofErr w:type="gramStart"/>
      <w:r w:rsidRPr="00635978">
        <w:t>Praha : Univerzita</w:t>
      </w:r>
      <w:proofErr w:type="gramEnd"/>
      <w:r w:rsidRPr="00635978">
        <w:t xml:space="preserve"> Karlova - Karolinum 1997. ISBN 80-7184-437-3</w:t>
      </w:r>
    </w:p>
    <w:p w:rsidR="00074492" w:rsidRPr="00074492" w:rsidRDefault="00074492" w:rsidP="00074492">
      <w:r w:rsidRPr="00074492">
        <w:lastRenderedPageBreak/>
        <w:t xml:space="preserve">SLAVÍK, J. (2001) </w:t>
      </w:r>
      <w:r w:rsidRPr="00074492">
        <w:rPr>
          <w:i/>
          <w:iCs/>
        </w:rPr>
        <w:t>Umění zážitku, zážitek umění (teorie a praxe artefiletiky).</w:t>
      </w:r>
      <w:r w:rsidRPr="00074492">
        <w:t xml:space="preserve"> I. díl. </w:t>
      </w:r>
      <w:proofErr w:type="gramStart"/>
      <w:r w:rsidRPr="00074492">
        <w:t>Praha : Univerzita</w:t>
      </w:r>
      <w:proofErr w:type="gramEnd"/>
      <w:r w:rsidRPr="00074492">
        <w:t xml:space="preserve"> Karlova – Pedagogická fakulta 2001. 282 s. ISBN: 80-7290-066-8</w:t>
      </w:r>
    </w:p>
    <w:p w:rsidR="00631F08" w:rsidRDefault="00631F08">
      <w:r w:rsidRPr="00134199">
        <w:t xml:space="preserve">SLAVÍK, J. et al. (1998) </w:t>
      </w:r>
      <w:r w:rsidRPr="00134199">
        <w:rPr>
          <w:i/>
          <w:iCs/>
        </w:rPr>
        <w:t>Výtvarná výchova a její teorie v českých zemích ve světových kontextech.</w:t>
      </w:r>
      <w:r w:rsidRPr="00134199">
        <w:t xml:space="preserve"> </w:t>
      </w:r>
      <w:proofErr w:type="gramStart"/>
      <w:r w:rsidRPr="00134199">
        <w:t>Praha : Pedagogická</w:t>
      </w:r>
      <w:proofErr w:type="gramEnd"/>
      <w:r w:rsidRPr="00134199">
        <w:t xml:space="preserve"> fakulta UK 1998, 42 s. ISBN 80-86039-70-6</w:t>
      </w:r>
    </w:p>
    <w:p w:rsidR="006A36EC" w:rsidRDefault="00631F08">
      <w:r w:rsidRPr="00631F08">
        <w:t xml:space="preserve">SLAVÍK, J.; WAWROSZ, P. (2004) </w:t>
      </w:r>
      <w:r w:rsidRPr="00631F08">
        <w:rPr>
          <w:i/>
          <w:iCs/>
        </w:rPr>
        <w:t>Umění zážitku, zážitek umění (teorie a praxe artefiletiky).</w:t>
      </w:r>
      <w:r w:rsidRPr="00631F08">
        <w:t xml:space="preserve"> II. díl. </w:t>
      </w:r>
      <w:proofErr w:type="gramStart"/>
      <w:r w:rsidRPr="00631F08">
        <w:t>Praha : Univerzita</w:t>
      </w:r>
      <w:proofErr w:type="gramEnd"/>
      <w:r w:rsidRPr="00631F08">
        <w:t xml:space="preserve"> Karlova – Pedagogická fakulta 2004. ISBN 80-7290-130-3</w:t>
      </w:r>
      <w:r>
        <w:t xml:space="preserve"> </w:t>
      </w:r>
    </w:p>
    <w:p w:rsidR="00EE041A" w:rsidRPr="00EE041A" w:rsidRDefault="00EE041A" w:rsidP="00EE041A">
      <w:r w:rsidRPr="00EE041A">
        <w:t>SOURIAU, É. (1994)</w:t>
      </w:r>
      <w:r w:rsidRPr="00EE041A">
        <w:rPr>
          <w:i/>
          <w:iCs/>
        </w:rPr>
        <w:t xml:space="preserve"> Encyklopedie estetiky.</w:t>
      </w:r>
      <w:r w:rsidRPr="00EE041A">
        <w:t xml:space="preserve"> </w:t>
      </w:r>
      <w:proofErr w:type="gramStart"/>
      <w:r w:rsidRPr="00EE041A">
        <w:t>Praha : Victoria</w:t>
      </w:r>
      <w:proofErr w:type="gramEnd"/>
      <w:r w:rsidRPr="00EE041A">
        <w:t xml:space="preserve"> </w:t>
      </w:r>
      <w:proofErr w:type="spellStart"/>
      <w:r w:rsidRPr="00EE041A">
        <w:t>Publishing</w:t>
      </w:r>
      <w:proofErr w:type="spellEnd"/>
      <w:r w:rsidRPr="00EE041A">
        <w:t xml:space="preserve"> 1994. ISBN 80-85605-18-X</w:t>
      </w:r>
    </w:p>
    <w:p w:rsidR="00CD426D" w:rsidRDefault="003B6347">
      <w:r w:rsidRPr="003B6347">
        <w:t xml:space="preserve">WEITZ, M. (2003) Role teorie v estetice. In </w:t>
      </w:r>
      <w:r w:rsidRPr="003B6347">
        <w:rPr>
          <w:i/>
          <w:iCs/>
        </w:rPr>
        <w:t>Umění, krása, šeredno</w:t>
      </w:r>
      <w:r w:rsidRPr="003B6347">
        <w:t xml:space="preserve">. Zuska, V. (ed.). </w:t>
      </w:r>
      <w:proofErr w:type="gramStart"/>
      <w:r w:rsidRPr="003B6347">
        <w:t>Praha : Karolinum</w:t>
      </w:r>
      <w:proofErr w:type="gramEnd"/>
      <w:r w:rsidRPr="003B6347">
        <w:t>, 2003, s. 77 – 88. ISBN 80-246-0540-6</w:t>
      </w:r>
    </w:p>
    <w:p w:rsidR="00CD44A6" w:rsidRDefault="001B777A">
      <w:r w:rsidRPr="001754EA">
        <w:t>ZUSKA, V.</w:t>
      </w:r>
      <w:r>
        <w:rPr>
          <w:b/>
          <w:bCs/>
        </w:rPr>
        <w:t xml:space="preserve"> </w:t>
      </w:r>
      <w:r w:rsidRPr="008E4EE8">
        <w:t>(2001)</w:t>
      </w:r>
      <w:r>
        <w:rPr>
          <w:b/>
          <w:bCs/>
        </w:rPr>
        <w:t xml:space="preserve"> </w:t>
      </w:r>
      <w:r w:rsidRPr="001754EA">
        <w:t>Estetika</w:t>
      </w:r>
      <w:r>
        <w:rPr>
          <w:b/>
          <w:bCs/>
        </w:rPr>
        <w:t xml:space="preserve"> </w:t>
      </w:r>
      <w:r>
        <w:t xml:space="preserve">(úvod do současnosti tradiční disciplíny). </w:t>
      </w:r>
      <w:proofErr w:type="gramStart"/>
      <w:r>
        <w:t>Praha : Triton</w:t>
      </w:r>
      <w:proofErr w:type="gramEnd"/>
      <w:r>
        <w:t>, 2001. ISBN 80-7254-194-3.</w:t>
      </w:r>
    </w:p>
    <w:sectPr w:rsidR="00CD44A6" w:rsidSect="00781FDF">
      <w:headerReference w:type="even" r:id="rId7"/>
      <w:footerReference w:type="even" r:id="rId8"/>
      <w:footerReference w:type="default" r:id="rId9"/>
      <w:type w:val="continuous"/>
      <w:pgSz w:w="11906" w:h="16838" w:code="9"/>
      <w:pgMar w:top="1418" w:right="1418" w:bottom="1276" w:left="1418" w:header="709" w:footer="567" w:gutter="0"/>
      <w:cols w:space="708"/>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94D" w:rsidRDefault="003D194D">
      <w:r>
        <w:separator/>
      </w:r>
    </w:p>
    <w:p w:rsidR="003D194D" w:rsidRDefault="003D194D"/>
  </w:endnote>
  <w:endnote w:type="continuationSeparator" w:id="0">
    <w:p w:rsidR="003D194D" w:rsidRDefault="003D194D">
      <w:r>
        <w:continuationSeparator/>
      </w:r>
    </w:p>
    <w:p w:rsidR="003D194D" w:rsidRDefault="003D19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39E" w:rsidRDefault="00C1039E" w:rsidP="007C6A91">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C1039E" w:rsidRDefault="00C1039E" w:rsidP="007C6A91">
    <w:pPr>
      <w:pStyle w:val="Zpat"/>
      <w:ind w:right="360"/>
    </w:pPr>
  </w:p>
  <w:p w:rsidR="00C1039E" w:rsidRDefault="00C1039E"/>
  <w:p w:rsidR="00C1039E" w:rsidRDefault="00C1039E" w:rsidP="00101AA9"/>
  <w:p w:rsidR="00C1039E" w:rsidRDefault="00C1039E" w:rsidP="0084521B"/>
  <w:p w:rsidR="00C1039E" w:rsidRDefault="00C1039E" w:rsidP="0084521B"/>
  <w:p w:rsidR="00C1039E" w:rsidRDefault="00C1039E" w:rsidP="00B849DE"/>
  <w:p w:rsidR="00C1039E" w:rsidRDefault="00C1039E" w:rsidP="00FE2C7C"/>
  <w:p w:rsidR="00C1039E" w:rsidRDefault="00C1039E" w:rsidP="00FE2C7C"/>
  <w:p w:rsidR="00C1039E" w:rsidRDefault="00C1039E" w:rsidP="0011678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039E" w:rsidRDefault="00C1039E" w:rsidP="007C6A91">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CD40D6">
      <w:rPr>
        <w:rStyle w:val="slostrnky"/>
        <w:noProof/>
      </w:rPr>
      <w:t>7</w:t>
    </w:r>
    <w:r>
      <w:rPr>
        <w:rStyle w:val="slostrnky"/>
      </w:rPr>
      <w:fldChar w:fldCharType="end"/>
    </w:r>
  </w:p>
  <w:p w:rsidR="00C1039E" w:rsidRDefault="00C1039E" w:rsidP="00472570"/>
  <w:p w:rsidR="00C1039E" w:rsidRDefault="00C1039E" w:rsidP="00FE2C7C"/>
  <w:p w:rsidR="00C1039E" w:rsidRDefault="00C1039E" w:rsidP="0011678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94D" w:rsidRDefault="003D194D">
      <w:r>
        <w:separator/>
      </w:r>
    </w:p>
    <w:p w:rsidR="003D194D" w:rsidRDefault="003D194D"/>
  </w:footnote>
  <w:footnote w:type="continuationSeparator" w:id="0">
    <w:p w:rsidR="003D194D" w:rsidRDefault="003D194D">
      <w:r>
        <w:continuationSeparator/>
      </w:r>
    </w:p>
    <w:p w:rsidR="003D194D" w:rsidRDefault="003D194D"/>
  </w:footnote>
  <w:footnote w:id="1">
    <w:p w:rsidR="00D47E11" w:rsidRDefault="00D47E11" w:rsidP="00D47E11">
      <w:pPr>
        <w:pStyle w:val="Textpoznpodarou"/>
      </w:pPr>
      <w:r>
        <w:rPr>
          <w:rStyle w:val="Znakapoznpodarou"/>
        </w:rPr>
        <w:footnoteRef/>
      </w:r>
      <w:r>
        <w:t xml:space="preserve"> Významem zde rozumíme funkční vlastnost výrazu reprezentovat pojem. Kvalitou zde rozumíme vlastnosti rozlišované smyslovým vnímáním (např. typ tvarové kompozice či typ barevnosti). Hodnotu zde chápeme jako specifickou obecnou vlastnost podmíněnou výběrem a zaujetím postoje (např. etické nebo estetické hodnoty).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58EE" w:rsidRDefault="00F258EE"/>
  <w:p w:rsidR="005A5118" w:rsidRDefault="005A5118"/>
  <w:p w:rsidR="005A5118" w:rsidRDefault="005A5118" w:rsidP="0084521B"/>
  <w:p w:rsidR="005A5118" w:rsidRDefault="005A5118" w:rsidP="00B849DE"/>
  <w:p w:rsidR="005A5118" w:rsidRDefault="005A5118" w:rsidP="00FE2C7C"/>
  <w:p w:rsidR="005A5118" w:rsidRDefault="005A5118" w:rsidP="00FE2C7C"/>
  <w:p w:rsidR="005A5118" w:rsidRDefault="005A5118" w:rsidP="001167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F5FA8"/>
    <w:multiLevelType w:val="multilevel"/>
    <w:tmpl w:val="55702E1C"/>
    <w:styleLink w:val="Stylslovn"/>
    <w:lvl w:ilvl="0">
      <w:start w:val="1"/>
      <w:numFmt w:val="decimal"/>
      <w:lvlText w:val="%1)"/>
      <w:lvlJc w:val="left"/>
      <w:pPr>
        <w:tabs>
          <w:tab w:val="num" w:pos="720"/>
        </w:tabs>
        <w:ind w:left="720" w:hanging="360"/>
      </w:pPr>
      <w:rPr>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C5198F"/>
    <w:multiLevelType w:val="multilevel"/>
    <w:tmpl w:val="8BB6301C"/>
    <w:lvl w:ilvl="0">
      <w:start w:val="1"/>
      <w:numFmt w:val="decimal"/>
      <w:pStyle w:val="Nadpis1"/>
      <w:lvlText w:val="%1"/>
      <w:lvlJc w:val="left"/>
      <w:pPr>
        <w:tabs>
          <w:tab w:val="num" w:pos="432"/>
        </w:tabs>
        <w:ind w:left="432" w:hanging="432"/>
      </w:pPr>
      <w:rPr>
        <w:rFonts w:hint="default"/>
      </w:rPr>
    </w:lvl>
    <w:lvl w:ilvl="1">
      <w:start w:val="2"/>
      <w:numFmt w:val="decimal"/>
      <w:lvlText w:val="%2%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E4F2ADB"/>
    <w:multiLevelType w:val="multilevel"/>
    <w:tmpl w:val="FB3E2E30"/>
    <w:lvl w:ilvl="0">
      <w:start w:val="1"/>
      <w:numFmt w:val="decimal"/>
      <w:lvlText w:val="%1."/>
      <w:lvlJc w:val="left"/>
      <w:pPr>
        <w:tabs>
          <w:tab w:val="num" w:pos="510"/>
        </w:tabs>
        <w:ind w:left="510" w:hanging="15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9784389"/>
    <w:multiLevelType w:val="multilevel"/>
    <w:tmpl w:val="6D5A8C62"/>
    <w:lvl w:ilvl="0">
      <w:start w:val="2"/>
      <w:numFmt w:val="decimal"/>
      <w:lvlText w:val="%1"/>
      <w:lvlJc w:val="left"/>
      <w:pPr>
        <w:tabs>
          <w:tab w:val="num" w:pos="432"/>
        </w:tabs>
        <w:ind w:left="432" w:hanging="432"/>
      </w:pPr>
      <w:rPr>
        <w:rFonts w:hint="default"/>
      </w:rPr>
    </w:lvl>
    <w:lvl w:ilvl="1">
      <w:start w:val="1"/>
      <w:numFmt w:val="decimal"/>
      <w:lvlText w:val="2.%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F815A14"/>
    <w:multiLevelType w:val="multilevel"/>
    <w:tmpl w:val="564C273E"/>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0F04575"/>
    <w:multiLevelType w:val="multilevel"/>
    <w:tmpl w:val="4B1A98D2"/>
    <w:lvl w:ilvl="0">
      <w:start w:val="1"/>
      <w:numFmt w:val="decimal"/>
      <w:lvlText w:val="%1"/>
      <w:lvlJc w:val="left"/>
      <w:pPr>
        <w:tabs>
          <w:tab w:val="num" w:pos="432"/>
        </w:tabs>
        <w:ind w:left="432" w:hanging="432"/>
      </w:pPr>
    </w:lvl>
    <w:lvl w:ilvl="1">
      <w:start w:val="1"/>
      <w:numFmt w:val="decimal"/>
      <w:pStyle w:val="Nadpis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373A77EA"/>
    <w:multiLevelType w:val="multilevel"/>
    <w:tmpl w:val="EB7480FE"/>
    <w:lvl w:ilvl="0">
      <w:start w:val="1"/>
      <w:numFmt w:val="decimal"/>
      <w:lvlText w:val="%1."/>
      <w:lvlJc w:val="left"/>
      <w:pPr>
        <w:tabs>
          <w:tab w:val="num" w:pos="567"/>
        </w:tabs>
        <w:ind w:left="567" w:hanging="207"/>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B683E73"/>
    <w:multiLevelType w:val="multilevel"/>
    <w:tmpl w:val="1812CBE4"/>
    <w:lvl w:ilvl="0">
      <w:start w:val="2"/>
      <w:numFmt w:val="decimal"/>
      <w:pStyle w:val="Obsah1"/>
      <w:lvlText w:val="%1"/>
      <w:lvlJc w:val="left"/>
      <w:pPr>
        <w:tabs>
          <w:tab w:val="num" w:pos="432"/>
        </w:tabs>
        <w:ind w:left="432" w:hanging="432"/>
      </w:pPr>
      <w:rPr>
        <w:rFonts w:hint="default"/>
      </w:rPr>
    </w:lvl>
    <w:lvl w:ilvl="1">
      <w:start w:val="1"/>
      <w:numFmt w:val="decimal"/>
      <w:pStyle w:val="StylNadpis2Vlevo0cmPrvndek0cm1"/>
      <w:lvlText w:val="2.%2"/>
      <w:lvlJc w:val="left"/>
      <w:pPr>
        <w:tabs>
          <w:tab w:val="num" w:pos="576"/>
        </w:tabs>
        <w:ind w:left="576" w:hanging="576"/>
      </w:pPr>
      <w:rPr>
        <w:rFonts w:hint="default"/>
      </w:rPr>
    </w:lvl>
    <w:lvl w:ilvl="2">
      <w:start w:val="1"/>
      <w:numFmt w:val="decimal"/>
      <w:pStyle w:val="Nadpis3"/>
      <w:lvlText w:val="%1.%2.%3"/>
      <w:lvlJc w:val="left"/>
      <w:pPr>
        <w:tabs>
          <w:tab w:val="num" w:pos="720"/>
        </w:tabs>
        <w:ind w:left="720" w:hanging="720"/>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suff w:val="space"/>
      <w:lvlText w:val="%1.%2.%3.%4.%5.%6"/>
      <w:lvlJc w:val="left"/>
      <w:pPr>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406B0B7D"/>
    <w:multiLevelType w:val="multilevel"/>
    <w:tmpl w:val="10BAF472"/>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pStyle w:val="Meztit02"/>
      <w:lvlText w:val="%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46893966"/>
    <w:multiLevelType w:val="hybridMultilevel"/>
    <w:tmpl w:val="FB3E2E30"/>
    <w:lvl w:ilvl="0" w:tplc="443643AE">
      <w:start w:val="1"/>
      <w:numFmt w:val="decimal"/>
      <w:lvlText w:val="%1."/>
      <w:lvlJc w:val="left"/>
      <w:pPr>
        <w:tabs>
          <w:tab w:val="num" w:pos="510"/>
        </w:tabs>
        <w:ind w:left="510" w:hanging="150"/>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8493195"/>
    <w:multiLevelType w:val="multilevel"/>
    <w:tmpl w:val="12CEEC58"/>
    <w:lvl w:ilvl="0">
      <w:start w:val="2"/>
      <w:numFmt w:val="decimal"/>
      <w:lvlText w:val="%1"/>
      <w:lvlJc w:val="left"/>
      <w:pPr>
        <w:tabs>
          <w:tab w:val="num" w:pos="432"/>
        </w:tabs>
        <w:ind w:left="432" w:hanging="432"/>
      </w:pPr>
      <w:rPr>
        <w:rFonts w:hint="default"/>
      </w:rPr>
    </w:lvl>
    <w:lvl w:ilvl="1">
      <w:start w:val="1"/>
      <w:numFmt w:val="decimal"/>
      <w:lvlText w:val="2.%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5D194C72"/>
    <w:multiLevelType w:val="multilevel"/>
    <w:tmpl w:val="615A5116"/>
    <w:lvl w:ilvl="0">
      <w:start w:val="1"/>
      <w:numFmt w:val="decimal"/>
      <w:lvlText w:val="%1."/>
      <w:lvlJc w:val="left"/>
      <w:pPr>
        <w:tabs>
          <w:tab w:val="num" w:pos="680"/>
        </w:tabs>
        <w:ind w:left="680" w:hanging="32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67207161"/>
    <w:multiLevelType w:val="hybridMultilevel"/>
    <w:tmpl w:val="B25CEFA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5"/>
  </w:num>
  <w:num w:numId="2">
    <w:abstractNumId w:val="5"/>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1"/>
  </w:num>
  <w:num w:numId="11">
    <w:abstractNumId w:val="10"/>
  </w:num>
  <w:num w:numId="12">
    <w:abstractNumId w:val="10"/>
  </w:num>
  <w:num w:numId="13">
    <w:abstractNumId w:val="10"/>
  </w:num>
  <w:num w:numId="14">
    <w:abstractNumId w:val="10"/>
  </w:num>
  <w:num w:numId="15">
    <w:abstractNumId w:val="1"/>
  </w:num>
  <w:num w:numId="16">
    <w:abstractNumId w:val="3"/>
  </w:num>
  <w:num w:numId="17">
    <w:abstractNumId w:val="7"/>
  </w:num>
  <w:num w:numId="18">
    <w:abstractNumId w:val="0"/>
  </w:num>
  <w:num w:numId="19">
    <w:abstractNumId w:val="8"/>
  </w:num>
  <w:num w:numId="20">
    <w:abstractNumId w:val="9"/>
  </w:num>
  <w:num w:numId="21">
    <w:abstractNumId w:val="12"/>
  </w:num>
  <w:num w:numId="22">
    <w:abstractNumId w:val="4"/>
  </w:num>
  <w:num w:numId="23">
    <w:abstractNumId w:val="6"/>
  </w:num>
  <w:num w:numId="24">
    <w:abstractNumId w:val="1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87"/>
  <w:drawingGridVerticalSpacing w:val="127"/>
  <w:displayHorizontalDrawingGridEvery w:val="0"/>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426D"/>
    <w:rsid w:val="00037DE1"/>
    <w:rsid w:val="00041E44"/>
    <w:rsid w:val="00050FAE"/>
    <w:rsid w:val="00066AEE"/>
    <w:rsid w:val="000711C0"/>
    <w:rsid w:val="00073094"/>
    <w:rsid w:val="00074492"/>
    <w:rsid w:val="00077DCD"/>
    <w:rsid w:val="000B3620"/>
    <w:rsid w:val="000C6C70"/>
    <w:rsid w:val="000C7333"/>
    <w:rsid w:val="000E1F8F"/>
    <w:rsid w:val="000E6376"/>
    <w:rsid w:val="000E75C5"/>
    <w:rsid w:val="000F6ACA"/>
    <w:rsid w:val="00101AA9"/>
    <w:rsid w:val="00115829"/>
    <w:rsid w:val="00116785"/>
    <w:rsid w:val="00116A59"/>
    <w:rsid w:val="001530DC"/>
    <w:rsid w:val="00160533"/>
    <w:rsid w:val="00162BDB"/>
    <w:rsid w:val="001B461B"/>
    <w:rsid w:val="001B777A"/>
    <w:rsid w:val="001C5767"/>
    <w:rsid w:val="001F1D94"/>
    <w:rsid w:val="001F2360"/>
    <w:rsid w:val="002114C3"/>
    <w:rsid w:val="00233457"/>
    <w:rsid w:val="002525DC"/>
    <w:rsid w:val="00271E04"/>
    <w:rsid w:val="002A6FAB"/>
    <w:rsid w:val="002F64BF"/>
    <w:rsid w:val="003108CB"/>
    <w:rsid w:val="00345E41"/>
    <w:rsid w:val="00351F30"/>
    <w:rsid w:val="00352FFD"/>
    <w:rsid w:val="003B09C6"/>
    <w:rsid w:val="003B6347"/>
    <w:rsid w:val="003D1835"/>
    <w:rsid w:val="003D194D"/>
    <w:rsid w:val="003F0F42"/>
    <w:rsid w:val="003F414F"/>
    <w:rsid w:val="003F6484"/>
    <w:rsid w:val="0040280C"/>
    <w:rsid w:val="00410E76"/>
    <w:rsid w:val="004123E7"/>
    <w:rsid w:val="00455497"/>
    <w:rsid w:val="00460DC1"/>
    <w:rsid w:val="00466F71"/>
    <w:rsid w:val="00472570"/>
    <w:rsid w:val="00486D74"/>
    <w:rsid w:val="00491EB5"/>
    <w:rsid w:val="00492443"/>
    <w:rsid w:val="004C0552"/>
    <w:rsid w:val="004D2F6B"/>
    <w:rsid w:val="0054651F"/>
    <w:rsid w:val="00557953"/>
    <w:rsid w:val="00570DFF"/>
    <w:rsid w:val="005A152E"/>
    <w:rsid w:val="005A5118"/>
    <w:rsid w:val="005A6CD8"/>
    <w:rsid w:val="005F4E5D"/>
    <w:rsid w:val="005F7592"/>
    <w:rsid w:val="006053E1"/>
    <w:rsid w:val="00631F08"/>
    <w:rsid w:val="00635978"/>
    <w:rsid w:val="00682BB5"/>
    <w:rsid w:val="00692E88"/>
    <w:rsid w:val="006A31E7"/>
    <w:rsid w:val="006A36EC"/>
    <w:rsid w:val="006A7EE0"/>
    <w:rsid w:val="006B5D08"/>
    <w:rsid w:val="007113D0"/>
    <w:rsid w:val="00722CCA"/>
    <w:rsid w:val="0074398E"/>
    <w:rsid w:val="007539F0"/>
    <w:rsid w:val="00781FDF"/>
    <w:rsid w:val="007C13BC"/>
    <w:rsid w:val="007C6A91"/>
    <w:rsid w:val="008200EF"/>
    <w:rsid w:val="0083334B"/>
    <w:rsid w:val="00843345"/>
    <w:rsid w:val="0084521B"/>
    <w:rsid w:val="00857291"/>
    <w:rsid w:val="008653CA"/>
    <w:rsid w:val="0089535C"/>
    <w:rsid w:val="008B11A0"/>
    <w:rsid w:val="008B72F4"/>
    <w:rsid w:val="008E1767"/>
    <w:rsid w:val="008F4021"/>
    <w:rsid w:val="008F4E15"/>
    <w:rsid w:val="008F71B9"/>
    <w:rsid w:val="00913FCF"/>
    <w:rsid w:val="00927B93"/>
    <w:rsid w:val="00931C07"/>
    <w:rsid w:val="00933B3A"/>
    <w:rsid w:val="009638B4"/>
    <w:rsid w:val="009658BB"/>
    <w:rsid w:val="00980204"/>
    <w:rsid w:val="009B047A"/>
    <w:rsid w:val="009B49F2"/>
    <w:rsid w:val="009D4290"/>
    <w:rsid w:val="009E0D87"/>
    <w:rsid w:val="009E4361"/>
    <w:rsid w:val="009F2B46"/>
    <w:rsid w:val="00A04F95"/>
    <w:rsid w:val="00A14A21"/>
    <w:rsid w:val="00A331E6"/>
    <w:rsid w:val="00A45430"/>
    <w:rsid w:val="00A46A0F"/>
    <w:rsid w:val="00A66985"/>
    <w:rsid w:val="00A91AF8"/>
    <w:rsid w:val="00AB2ED9"/>
    <w:rsid w:val="00AC740B"/>
    <w:rsid w:val="00B01480"/>
    <w:rsid w:val="00B042D2"/>
    <w:rsid w:val="00B41C8F"/>
    <w:rsid w:val="00B45B39"/>
    <w:rsid w:val="00B51A15"/>
    <w:rsid w:val="00B849DE"/>
    <w:rsid w:val="00B94C99"/>
    <w:rsid w:val="00BA22D7"/>
    <w:rsid w:val="00BA4598"/>
    <w:rsid w:val="00BB221A"/>
    <w:rsid w:val="00BD056F"/>
    <w:rsid w:val="00BE2395"/>
    <w:rsid w:val="00C1039E"/>
    <w:rsid w:val="00C1543E"/>
    <w:rsid w:val="00C16027"/>
    <w:rsid w:val="00C16E3D"/>
    <w:rsid w:val="00C24A27"/>
    <w:rsid w:val="00C24C61"/>
    <w:rsid w:val="00C27DC3"/>
    <w:rsid w:val="00C40AF8"/>
    <w:rsid w:val="00C51D61"/>
    <w:rsid w:val="00C56D78"/>
    <w:rsid w:val="00C75D63"/>
    <w:rsid w:val="00C84E5D"/>
    <w:rsid w:val="00C942DE"/>
    <w:rsid w:val="00CD224E"/>
    <w:rsid w:val="00CD40D6"/>
    <w:rsid w:val="00CD426D"/>
    <w:rsid w:val="00CD44A6"/>
    <w:rsid w:val="00CD45C2"/>
    <w:rsid w:val="00CE3C92"/>
    <w:rsid w:val="00D008B0"/>
    <w:rsid w:val="00D47E11"/>
    <w:rsid w:val="00D503E2"/>
    <w:rsid w:val="00D64B1C"/>
    <w:rsid w:val="00D71DF3"/>
    <w:rsid w:val="00D8205D"/>
    <w:rsid w:val="00DC533F"/>
    <w:rsid w:val="00E10783"/>
    <w:rsid w:val="00E81EEA"/>
    <w:rsid w:val="00E9072B"/>
    <w:rsid w:val="00E90EC2"/>
    <w:rsid w:val="00E91F5B"/>
    <w:rsid w:val="00E97FD5"/>
    <w:rsid w:val="00EA5E7B"/>
    <w:rsid w:val="00EC0CE0"/>
    <w:rsid w:val="00EC1AF7"/>
    <w:rsid w:val="00EC2B38"/>
    <w:rsid w:val="00ED6D2D"/>
    <w:rsid w:val="00EE041A"/>
    <w:rsid w:val="00EE10AC"/>
    <w:rsid w:val="00EF14F5"/>
    <w:rsid w:val="00F258EE"/>
    <w:rsid w:val="00F40568"/>
    <w:rsid w:val="00F526E2"/>
    <w:rsid w:val="00F62CF5"/>
    <w:rsid w:val="00F64A6A"/>
    <w:rsid w:val="00F752AE"/>
    <w:rsid w:val="00F75999"/>
    <w:rsid w:val="00FB4B7F"/>
    <w:rsid w:val="00FC7EF0"/>
    <w:rsid w:val="00FE2C7C"/>
    <w:rsid w:val="00FE5FFF"/>
    <w:rsid w:val="00FF6203"/>
    <w:rsid w:val="00FF77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1091"/>
    <o:shapelayout v:ext="edit">
      <o:idmap v:ext="edit" data="1"/>
      <o:rules v:ext="edit">
        <o:r id="V:Rule1" type="connector" idref="#_x0000_s1047">
          <o:proxy start="" idref="#_x0000_s1044" connectloc="2"/>
          <o:proxy end="" idref="#_x0000_s1043" connectloc="0"/>
        </o:r>
        <o:r id="V:Rule2" type="connector" idref="#_x0000_s1048">
          <o:proxy start="" idref="#_x0000_s1045" connectloc="2"/>
          <o:proxy end="" idref="#_x0000_s1043" connectloc="0"/>
        </o:r>
        <o:r id="V:Rule3" type="connector" idref="#_x0000_s1049">
          <o:proxy start="" idref="#_x0000_s1046" connectloc="2"/>
          <o:proxy end="" idref="#_x0000_s1043" connectloc="0"/>
        </o:r>
        <o:r id="V:Rule4" type="connector" idref="#_x0000_s1062">
          <o:proxy start="" idref="#_x0000_s1037" connectloc="5"/>
          <o:proxy end="" idref="#_x0000_s1055" connectloc="0"/>
        </o:r>
        <o:r id="V:Rule5" type="connector" idref="#_x0000_s1063">
          <o:proxy start="" idref="#_x0000_s1038" connectloc="4"/>
          <o:proxy end="" idref="#_x0000_s1055" connectloc="0"/>
        </o:r>
        <o:r id="V:Rule6" type="connector" idref="#_x0000_s1064">
          <o:proxy start="" idref="#_x0000_s1055" connectloc="0"/>
          <o:proxy end="" idref="#_x0000_s1039" connectloc="3"/>
        </o:r>
        <o:r id="V:Rule7" type="connector" idref="#_x0000_s1067">
          <o:proxy start="" idref="#_x0000_s1028" connectloc="7"/>
          <o:proxy end="" idref="#_x0000_s1070" connectloc="2"/>
        </o:r>
        <o:r id="V:Rule8" type="connector" idref="#_x0000_s1068">
          <o:proxy start="" idref="#_x0000_s1034" connectloc="0"/>
          <o:proxy end="" idref="#_x0000_s1070" connectloc="2"/>
        </o:r>
        <o:r id="V:Rule9" type="connector" idref="#_x0000_s1069">
          <o:proxy start="" idref="#_x0000_s1035" connectloc="0"/>
          <o:proxy end="" idref="#_x0000_s1070" connectloc="2"/>
        </o:r>
        <o:r id="V:Rule10" type="connector" idref="#_x0000_s1072">
          <o:proxy start="" idref="#_x0000_s1037" connectloc="7"/>
          <o:proxy end="" idref="#_x0000_s1071" connectloc="2"/>
        </o:r>
        <o:r id="V:Rule11" type="connector" idref="#_x0000_s1073">
          <o:proxy start="" idref="#_x0000_s1038" connectloc="0"/>
          <o:proxy end="" idref="#_x0000_s1071" connectloc="2"/>
        </o:r>
        <o:r id="V:Rule12" type="connector" idref="#_x0000_s1074">
          <o:proxy start="" idref="#_x0000_s1071" connectloc="2"/>
          <o:proxy end="" idref="#_x0000_s1039" connectloc="1"/>
        </o:r>
        <o:r id="V:Rule13" type="connector" idref="#_x0000_s1076">
          <o:proxy start="" idref="#_x0000_s1070" connectloc="3"/>
          <o:proxy end="" idref="#_x0000_s1075" connectloc="1"/>
        </o:r>
        <o:r id="V:Rule14" type="connector" idref="#_x0000_s1078">
          <o:proxy start="" idref="#_x0000_s1071" connectloc="3"/>
          <o:proxy end="" idref="#_x0000_s1077" connectloc="1"/>
        </o:r>
      </o:rules>
    </o:shapelayout>
  </w:shapeDefaults>
  <w:decimalSymbol w:val=","/>
  <w:listSeparator w:val=";"/>
  <w15:chartTrackingRefBased/>
  <w15:docId w15:val="{6617E0D9-B489-412B-8A8C-AE3204639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utoRedefine/>
    <w:qFormat/>
    <w:rsid w:val="00A14A21"/>
    <w:pPr>
      <w:autoSpaceDE w:val="0"/>
      <w:autoSpaceDN w:val="0"/>
      <w:spacing w:after="80"/>
    </w:pPr>
    <w:rPr>
      <w:sz w:val="22"/>
      <w:szCs w:val="22"/>
    </w:rPr>
  </w:style>
  <w:style w:type="paragraph" w:styleId="Nadpis1">
    <w:name w:val="heading 1"/>
    <w:basedOn w:val="Normln"/>
    <w:next w:val="Normln"/>
    <w:autoRedefine/>
    <w:qFormat/>
    <w:rsid w:val="00CD40D6"/>
    <w:pPr>
      <w:keepNext/>
      <w:numPr>
        <w:numId w:val="15"/>
      </w:numPr>
      <w:spacing w:before="240" w:after="60"/>
      <w:outlineLvl w:val="0"/>
    </w:pPr>
    <w:rPr>
      <w:rFonts w:ascii="Arial Black" w:hAnsi="Arial Black" w:cs="Arial Black"/>
      <w:b/>
      <w:bCs/>
      <w:kern w:val="28"/>
      <w:sz w:val="24"/>
      <w:szCs w:val="24"/>
    </w:rPr>
  </w:style>
  <w:style w:type="paragraph" w:styleId="Nadpis2">
    <w:name w:val="heading 2"/>
    <w:basedOn w:val="Normln"/>
    <w:next w:val="Normln"/>
    <w:qFormat/>
    <w:pPr>
      <w:keepNext/>
      <w:numPr>
        <w:ilvl w:val="1"/>
        <w:numId w:val="9"/>
      </w:numPr>
      <w:spacing w:before="240" w:after="60"/>
      <w:outlineLvl w:val="1"/>
    </w:pPr>
    <w:rPr>
      <w:rFonts w:ascii="Arial Black" w:hAnsi="Arial Black"/>
      <w:b/>
    </w:rPr>
  </w:style>
  <w:style w:type="paragraph" w:styleId="Nadpis3">
    <w:name w:val="heading 3"/>
    <w:basedOn w:val="Normln"/>
    <w:next w:val="Normln"/>
    <w:autoRedefine/>
    <w:qFormat/>
    <w:rsid w:val="00077DCD"/>
    <w:pPr>
      <w:keepNext/>
      <w:numPr>
        <w:ilvl w:val="2"/>
        <w:numId w:val="17"/>
      </w:numPr>
      <w:spacing w:before="240" w:after="60"/>
      <w:outlineLvl w:val="2"/>
    </w:pPr>
    <w:rPr>
      <w:rFonts w:ascii="Arial" w:hAnsi="Arial" w:cs="Arial"/>
      <w:b/>
      <w:bCs/>
    </w:rPr>
  </w:style>
  <w:style w:type="paragraph" w:styleId="Nadpis4">
    <w:name w:val="heading 4"/>
    <w:basedOn w:val="Normln"/>
    <w:next w:val="Normln"/>
    <w:autoRedefine/>
    <w:qFormat/>
    <w:rsid w:val="00FF6203"/>
    <w:pPr>
      <w:keepNext/>
      <w:numPr>
        <w:ilvl w:val="3"/>
        <w:numId w:val="17"/>
      </w:numPr>
      <w:spacing w:before="240" w:after="60"/>
      <w:outlineLvl w:val="3"/>
    </w:pPr>
    <w:rPr>
      <w:rFonts w:ascii="Arial" w:hAnsi="Arial" w:cs="Arial"/>
    </w:rPr>
  </w:style>
  <w:style w:type="paragraph" w:styleId="Nadpis5">
    <w:name w:val="heading 5"/>
    <w:basedOn w:val="Normln"/>
    <w:next w:val="Normln"/>
    <w:autoRedefine/>
    <w:qFormat/>
    <w:rsid w:val="00F75999"/>
    <w:pPr>
      <w:numPr>
        <w:ilvl w:val="4"/>
        <w:numId w:val="17"/>
      </w:numPr>
      <w:spacing w:before="240" w:after="60"/>
      <w:outlineLvl w:val="4"/>
    </w:pPr>
    <w:rPr>
      <w:rFonts w:ascii="Arial Narrow" w:hAnsi="Arial Narrow" w:cs="Arial Narrow"/>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Textvysvtlivek">
    <w:name w:val="endnote text"/>
    <w:basedOn w:val="Normln"/>
    <w:semiHidden/>
  </w:style>
  <w:style w:type="paragraph" w:styleId="Textkomente">
    <w:name w:val="annotation text"/>
    <w:basedOn w:val="Normln"/>
    <w:semiHidden/>
  </w:style>
  <w:style w:type="character" w:styleId="Znakapoznpodarou">
    <w:name w:val="footnote reference"/>
    <w:semiHidden/>
    <w:rsid w:val="000E6376"/>
    <w:rPr>
      <w:sz w:val="20"/>
      <w:szCs w:val="20"/>
      <w:vertAlign w:val="superscript"/>
    </w:rPr>
  </w:style>
  <w:style w:type="paragraph" w:customStyle="1" w:styleId="PoznPodarou">
    <w:name w:val="PoznPodČarou"/>
    <w:basedOn w:val="Normln"/>
    <w:autoRedefine/>
    <w:rsid w:val="00E10783"/>
    <w:rPr>
      <w:sz w:val="20"/>
    </w:rPr>
  </w:style>
  <w:style w:type="paragraph" w:customStyle="1" w:styleId="StylNadpis2Vlevo0cmPrvndek0cm1">
    <w:name w:val="Styl Nadpis 2 + Vlevo:  0 cm První řádek:  0 cm1"/>
    <w:basedOn w:val="Nadpis2"/>
    <w:autoRedefine/>
    <w:rsid w:val="00077DCD"/>
    <w:pPr>
      <w:numPr>
        <w:numId w:val="17"/>
      </w:numPr>
    </w:pPr>
    <w:rPr>
      <w:bCs/>
    </w:rPr>
  </w:style>
  <w:style w:type="paragraph" w:styleId="Obsah1">
    <w:name w:val="toc 1"/>
    <w:basedOn w:val="Normln"/>
    <w:next w:val="Normln"/>
    <w:autoRedefine/>
    <w:semiHidden/>
    <w:rsid w:val="00FF6203"/>
    <w:pPr>
      <w:numPr>
        <w:numId w:val="17"/>
      </w:numPr>
    </w:pPr>
  </w:style>
  <w:style w:type="paragraph" w:customStyle="1" w:styleId="StylPed6bdkovnNejmn12b">
    <w:name w:val="Styl Před:  6 b. Řádkování:  Nejméně 12 b."/>
    <w:basedOn w:val="Normln"/>
    <w:autoRedefine/>
    <w:rsid w:val="002F64BF"/>
    <w:pPr>
      <w:spacing w:line="240" w:lineRule="atLeast"/>
    </w:pPr>
  </w:style>
  <w:style w:type="paragraph" w:customStyle="1" w:styleId="Definice">
    <w:name w:val="Definice"/>
    <w:basedOn w:val="Normln"/>
    <w:autoRedefine/>
    <w:rsid w:val="00EA5E7B"/>
    <w:pPr>
      <w:pBdr>
        <w:top w:val="single" w:sz="4" w:space="1" w:color="auto"/>
        <w:left w:val="single" w:sz="4" w:space="4" w:color="auto"/>
        <w:bottom w:val="single" w:sz="4" w:space="1" w:color="auto"/>
        <w:right w:val="single" w:sz="4" w:space="4" w:color="auto"/>
      </w:pBdr>
    </w:pPr>
    <w:rPr>
      <w:i/>
      <w:iCs/>
    </w:rPr>
  </w:style>
  <w:style w:type="paragraph" w:customStyle="1" w:styleId="Normal-kurzva">
    <w:name w:val="Normal-kurzíva"/>
    <w:basedOn w:val="Normln"/>
    <w:autoRedefine/>
    <w:rsid w:val="00F64A6A"/>
    <w:rPr>
      <w:i/>
    </w:rPr>
  </w:style>
  <w:style w:type="numbering" w:customStyle="1" w:styleId="Stylslovn">
    <w:name w:val="Styl Číslování"/>
    <w:basedOn w:val="Bezseznamu"/>
    <w:rsid w:val="004D2F6B"/>
    <w:pPr>
      <w:numPr>
        <w:numId w:val="18"/>
      </w:numPr>
    </w:pPr>
  </w:style>
  <w:style w:type="paragraph" w:customStyle="1" w:styleId="PetitNormal">
    <w:name w:val="PetitNormal"/>
    <w:basedOn w:val="Normln"/>
    <w:autoRedefine/>
    <w:rsid w:val="00557953"/>
    <w:rPr>
      <w:sz w:val="18"/>
      <w:szCs w:val="18"/>
    </w:rPr>
  </w:style>
  <w:style w:type="paragraph" w:customStyle="1" w:styleId="Meztit02">
    <w:name w:val="Meztit02"/>
    <w:basedOn w:val="Normln"/>
    <w:autoRedefine/>
    <w:rsid w:val="00050FAE"/>
    <w:pPr>
      <w:numPr>
        <w:ilvl w:val="4"/>
        <w:numId w:val="19"/>
      </w:numPr>
      <w:spacing w:before="240" w:after="60"/>
      <w:outlineLvl w:val="4"/>
    </w:pPr>
    <w:rPr>
      <w:rFonts w:ascii="Arial Narrow" w:hAnsi="Arial Narrow"/>
      <w:snapToGrid w:val="0"/>
      <w:szCs w:val="20"/>
    </w:rPr>
  </w:style>
  <w:style w:type="paragraph" w:customStyle="1" w:styleId="Petit">
    <w:name w:val="Petit"/>
    <w:basedOn w:val="Normln"/>
    <w:autoRedefine/>
    <w:rsid w:val="00C51D61"/>
    <w:rPr>
      <w:sz w:val="18"/>
    </w:rPr>
  </w:style>
  <w:style w:type="paragraph" w:customStyle="1" w:styleId="Tunadp">
    <w:name w:val="Tuč_nadp"/>
    <w:basedOn w:val="Normln"/>
    <w:autoRedefine/>
    <w:rsid w:val="002A6FAB"/>
    <w:rPr>
      <w:rFonts w:ascii="Arial Narrow" w:hAnsi="Arial Narrow"/>
      <w:b/>
    </w:rPr>
  </w:style>
  <w:style w:type="paragraph" w:styleId="Zpat">
    <w:name w:val="footer"/>
    <w:basedOn w:val="Normln"/>
    <w:rsid w:val="007C6A91"/>
    <w:pPr>
      <w:tabs>
        <w:tab w:val="center" w:pos="4536"/>
        <w:tab w:val="right" w:pos="9072"/>
      </w:tabs>
    </w:pPr>
  </w:style>
  <w:style w:type="character" w:styleId="slostrnky">
    <w:name w:val="page number"/>
    <w:basedOn w:val="Standardnpsmoodstavce"/>
    <w:rsid w:val="007C6A91"/>
  </w:style>
  <w:style w:type="paragraph" w:styleId="Zhlav">
    <w:name w:val="header"/>
    <w:basedOn w:val="Normln"/>
    <w:rsid w:val="007C6A91"/>
    <w:pPr>
      <w:tabs>
        <w:tab w:val="center" w:pos="4536"/>
        <w:tab w:val="right" w:pos="9072"/>
      </w:tabs>
    </w:pPr>
  </w:style>
  <w:style w:type="paragraph" w:styleId="Textpoznpodarou">
    <w:name w:val="footnote text"/>
    <w:basedOn w:val="Normln"/>
    <w:semiHidden/>
    <w:rsid w:val="00D47E11"/>
    <w:pPr>
      <w:widowControl w:val="0"/>
      <w:adjustRightInd w:val="0"/>
      <w:spacing w:after="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3176</Words>
  <Characters>18739</Characters>
  <Application>Microsoft Office Word</Application>
  <DocSecurity>0</DocSecurity>
  <Lines>156</Lines>
  <Paragraphs>43</Paragraphs>
  <ScaleCrop>false</ScaleCrop>
  <HeadingPairs>
    <vt:vector size="2" baseType="variant">
      <vt:variant>
        <vt:lpstr>Název</vt:lpstr>
      </vt:variant>
      <vt:variant>
        <vt:i4>1</vt:i4>
      </vt:variant>
    </vt:vector>
  </HeadingPairs>
  <TitlesOfParts>
    <vt:vector size="1" baseType="lpstr">
      <vt:lpstr>Sémantická analýza výtvarného zážitku a teorie fikčních světů</vt:lpstr>
    </vt:vector>
  </TitlesOfParts>
  <Company>UK Pedagogická fakulta</Company>
  <LinksUpToDate>false</LinksUpToDate>
  <CharactersWithSpaces>21872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Sémantická analýza výtvarného zážitku a teorie fikčních světů</dc:title>
  <dc:subject/>
  <dc:creator>Jan Slavík</dc:creator>
  <cp:keywords/>
  <dc:description/>
  <cp:lastModifiedBy>Jan Slavík</cp:lastModifiedBy>
  <cp:revision>4</cp:revision>
  <dcterms:created xsi:type="dcterms:W3CDTF">2018-10-11T11:32:00Z</dcterms:created>
  <dcterms:modified xsi:type="dcterms:W3CDTF">2018-10-11T11:35:00Z</dcterms:modified>
</cp:coreProperties>
</file>