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64"/>
        <w:jc w:val="left"/>
        <w:rPr>
          <w:lang w:val="en-US"/>
        </w:rPr>
      </w:pPr>
      <w:r>
        <w:rPr>
          <w:lang w:val="en-US"/>
        </w:rPr>
        <w:t>Patočka and Heidegger in the 1930’s and 1940’s: history, finitude and Socrates</w:t>
      </w:r>
    </w:p>
    <w:p>
      <w:pPr>
        <w:pStyle w:val="Normal"/>
        <w:bidi w:val="0"/>
        <w:spacing w:lineRule="auto" w:line="264"/>
        <w:jc w:val="left"/>
        <w:rPr>
          <w:lang w:val="en-US"/>
        </w:rPr>
      </w:pPr>
      <w:r>
        <w:rPr>
          <w:lang w:val="en-US"/>
        </w:rPr>
      </w:r>
    </w:p>
    <w:p>
      <w:pPr>
        <w:pStyle w:val="Normal"/>
        <w:bidi w:val="0"/>
        <w:spacing w:lineRule="auto" w:line="264"/>
        <w:jc w:val="left"/>
        <w:rPr>
          <w:lang w:val="en-US"/>
        </w:rPr>
      </w:pPr>
      <w:r>
        <w:rPr>
          <w:lang w:val="en-US"/>
        </w:rPr>
        <w:t>Josef Moural</w:t>
      </w:r>
    </w:p>
    <w:p>
      <w:pPr>
        <w:pStyle w:val="Normal"/>
        <w:bidi w:val="0"/>
        <w:spacing w:lineRule="auto" w:line="264"/>
        <w:jc w:val="left"/>
        <w:rPr>
          <w:lang w:val="en-US"/>
        </w:rPr>
      </w:pPr>
      <w:r>
        <w:rPr>
          <w:lang w:val="en-US"/>
        </w:rPr>
      </w:r>
    </w:p>
    <w:p>
      <w:pPr>
        <w:pStyle w:val="Normal"/>
        <w:bidi w:val="0"/>
        <w:spacing w:lineRule="auto" w:line="264"/>
        <w:jc w:val="left"/>
        <w:rPr>
          <w:lang w:val="en-US"/>
        </w:rPr>
      </w:pPr>
      <w:r>
        <w:rPr>
          <w:lang w:val="en-US"/>
        </w:rPr>
      </w:r>
    </w:p>
    <w:p>
      <w:pPr>
        <w:pStyle w:val="Normal"/>
        <w:bidi w:val="0"/>
        <w:spacing w:lineRule="auto" w:line="264"/>
        <w:jc w:val="left"/>
        <w:rPr>
          <w:lang w:val="en-US"/>
        </w:rPr>
      </w:pPr>
      <w:r>
        <w:rPr>
          <w:lang w:val="en-US"/>
        </w:rPr>
        <w:t xml:space="preserve">Once there was a fairly widespread opinion that early Jan Patočka was a follower of Husserl and that the influence of Heidegger came only later and in two waves: in the 1940’s the reception of Heidegger’s </w:t>
      </w:r>
      <w:r>
        <w:rPr>
          <w:i/>
          <w:iCs/>
          <w:lang w:val="en-US"/>
        </w:rPr>
        <w:t>Being and Time</w:t>
      </w:r>
      <w:r>
        <w:rPr>
          <w:i w:val="false"/>
          <w:iCs w:val="false"/>
          <w:lang w:val="en-US"/>
        </w:rPr>
        <w:t xml:space="preserve"> and the related texts, and in the 1960’s or 1970’s the reception of Heidegger’s later philosophy. However, several authors noticed (not the least the author of this chapter) that there are in fact remarkable traces of Heideggerian influence in Patočka’s work already since 1934 (and that they possibly escape the attention of the majority readers since they are most prominent not in the major works but rather in the relatively lesser known papers). Still, there has been no study so far focusing on Patočka’s reception and elaboration of Heideggerian motives in the 1930’s and 1940’s.</w:t>
      </w:r>
      <w:r>
        <w:rPr>
          <w:rStyle w:val="Ukotvenpoznmkypodarou"/>
          <w:i w:val="false"/>
          <w:iCs w:val="false"/>
          <w:lang w:val="en-US"/>
        </w:rPr>
        <w:footnoteReference w:id="2"/>
      </w:r>
    </w:p>
    <w:p>
      <w:pPr>
        <w:pStyle w:val="Normal"/>
        <w:bidi w:val="0"/>
        <w:spacing w:lineRule="auto" w:line="264"/>
        <w:jc w:val="left"/>
        <w:rPr>
          <w:i w:val="false"/>
          <w:i w:val="false"/>
          <w:iCs w:val="false"/>
        </w:rPr>
      </w:pPr>
      <w:r>
        <w:rPr>
          <w:i w:val="false"/>
          <w:iCs w:val="false"/>
        </w:rPr>
      </w:r>
    </w:p>
    <w:p>
      <w:pPr>
        <w:pStyle w:val="Normal"/>
        <w:bidi w:val="0"/>
        <w:spacing w:lineRule="auto" w:line="264"/>
        <w:jc w:val="left"/>
        <w:rPr>
          <w:lang w:val="en-US"/>
        </w:rPr>
      </w:pPr>
      <w:r>
        <w:rPr>
          <w:i w:val="false"/>
          <w:iCs w:val="false"/>
          <w:lang w:val="en-US"/>
        </w:rPr>
        <w:tab/>
        <w:t>In this chapter, I shall (i) provide a biographical introduction and make a few points about the relevant circumstances. Then, I shall (ii) analyze two Patočka’s shorter texts from 1934-35 and discuss the traces of Heideggerian influence to be found in them. Next, I shall (iii) provide a brief survey of Heideggerian motives in other Patočka’s writings of the 1930’s and 1940’s, and finally (iv) I shall focus on the existentialist interpretation of Socrates in Patočka’s university lectures from 1946.</w:t>
      </w:r>
    </w:p>
    <w:p>
      <w:pPr>
        <w:pStyle w:val="Normal"/>
        <w:bidi w:val="0"/>
        <w:spacing w:lineRule="auto" w:line="264"/>
        <w:jc w:val="left"/>
        <w:rPr>
          <w:i w:val="false"/>
          <w:i w:val="false"/>
          <w:iCs w:val="false"/>
          <w:lang w:val="en-US"/>
        </w:rPr>
      </w:pPr>
      <w:r>
        <w:rPr>
          <w:i w:val="false"/>
          <w:iCs w:val="false"/>
          <w:lang w:val="en-US"/>
        </w:rPr>
      </w:r>
    </w:p>
    <w:p>
      <w:pPr>
        <w:pStyle w:val="Normal"/>
        <w:bidi w:val="0"/>
        <w:spacing w:lineRule="auto" w:line="264"/>
        <w:jc w:val="left"/>
        <w:rPr>
          <w:i w:val="false"/>
          <w:i w:val="false"/>
          <w:iCs w:val="false"/>
          <w:lang w:val="en-US"/>
        </w:rPr>
      </w:pPr>
      <w:r>
        <w:rPr>
          <w:i w:val="false"/>
          <w:iCs w:val="false"/>
          <w:lang w:val="en-US"/>
        </w:rPr>
      </w:r>
    </w:p>
    <w:p>
      <w:pPr>
        <w:pStyle w:val="Normal"/>
        <w:bidi w:val="0"/>
        <w:spacing w:lineRule="auto" w:line="264"/>
        <w:jc w:val="left"/>
        <w:rPr>
          <w:i w:val="false"/>
          <w:i w:val="false"/>
          <w:iCs w:val="false"/>
          <w:lang w:val="en-US"/>
        </w:rPr>
      </w:pPr>
      <w:r>
        <w:rPr>
          <w:i w:val="false"/>
          <w:iCs w:val="false"/>
          <w:lang w:val="en-US"/>
        </w:rPr>
        <w:t>(i)</w:t>
      </w:r>
    </w:p>
    <w:p>
      <w:pPr>
        <w:pStyle w:val="Normal"/>
        <w:bidi w:val="0"/>
        <w:spacing w:lineRule="auto" w:line="264"/>
        <w:jc w:val="left"/>
        <w:rPr>
          <w:lang w:val="en-US"/>
        </w:rPr>
      </w:pPr>
      <w:r>
        <w:rPr>
          <w:i w:val="false"/>
          <w:iCs w:val="false"/>
          <w:lang w:val="en-US"/>
        </w:rPr>
        <w:t>Jan Patočka (1907-1977) was a twenty-one years old visiting student when he heard Edmund Husserl lecturing in Paris in February 1929, and was greatly impressed by him. He adopted phenomenology as his main research interest and in his PhD. dissertation from 1931</w:t>
      </w:r>
      <w:r>
        <w:rPr>
          <w:rStyle w:val="Ukotvenpoznmkypodarou"/>
          <w:i w:val="false"/>
          <w:iCs w:val="false"/>
          <w:lang w:val="en-US"/>
        </w:rPr>
        <w:footnoteReference w:id="3"/>
      </w:r>
      <w:r>
        <w:rPr>
          <w:i w:val="false"/>
          <w:iCs w:val="false"/>
          <w:lang w:val="en-US"/>
        </w:rPr>
        <w:t xml:space="preserve"> he became the first Czech to write intelligently and sympathetically about Husserl (then, mainly the Husserl of the </w:t>
      </w:r>
      <w:r>
        <w:rPr>
          <w:i/>
          <w:iCs/>
          <w:lang w:val="en-US"/>
        </w:rPr>
        <w:t>Ideas I</w:t>
      </w:r>
      <w:r>
        <w:rPr>
          <w:i w:val="false"/>
          <w:iCs w:val="false"/>
          <w:lang w:val="en-US"/>
        </w:rPr>
        <w:t>). With a fresh PhD., Patočka became a high-school teacher (which was a standard career step for aspiring academics who needed next to submit a habilitation thesis in order to be acceptable as university lecturers) and applied for a Humboldt Stipend to spend a year at German universities.</w:t>
      </w:r>
    </w:p>
    <w:p>
      <w:pPr>
        <w:pStyle w:val="Normal"/>
        <w:bidi w:val="0"/>
        <w:spacing w:lineRule="auto" w:line="264"/>
        <w:jc w:val="left"/>
        <w:rPr>
          <w:i w:val="false"/>
          <w:i w:val="false"/>
          <w:iCs w:val="false"/>
        </w:rPr>
      </w:pPr>
      <w:r>
        <w:rPr>
          <w:i w:val="false"/>
          <w:iCs w:val="false"/>
        </w:rPr>
      </w:r>
    </w:p>
    <w:p>
      <w:pPr>
        <w:pStyle w:val="Normal"/>
        <w:bidi w:val="0"/>
        <w:spacing w:lineRule="auto" w:line="264"/>
        <w:jc w:val="left"/>
        <w:rPr>
          <w:lang w:val="en-US"/>
        </w:rPr>
      </w:pPr>
      <w:r>
        <w:rPr>
          <w:i w:val="false"/>
          <w:iCs w:val="false"/>
          <w:lang w:val="en-US"/>
        </w:rPr>
        <w:tab/>
        <w:t>In 1932-33, he spent a semester in Berlin and a semester in Freiburg. We do not know why he went first to Berlin, but it is likely that the following aspects played a role: (1) Husserl was already retired and Patočka was not sure that he would be willing to consult with him extensively, (2) in order to approach Husserl and make the best impression possible, he perhaps thought it worthwhile first to refresh and polish his (already very good) academic German, and (3) having spent a year in Paris and being a man of cultivated cultural interests, he must have been attracted by Berlin as one of the top cultural locations of the time. Anyway, Patočka met Jacob Klein</w:t>
      </w:r>
      <w:r>
        <w:rPr>
          <w:rStyle w:val="Ukotvenpoznmkypodarou"/>
          <w:i w:val="false"/>
          <w:iCs w:val="false"/>
          <w:lang w:val="en-US"/>
        </w:rPr>
        <w:footnoteReference w:id="4"/>
      </w:r>
      <w:r>
        <w:rPr>
          <w:i w:val="false"/>
          <w:iCs w:val="false"/>
          <w:lang w:val="en-US"/>
        </w:rPr>
        <w:t xml:space="preserve"> in Berlin, the two became friends and Klein pushed hard to persuade Patočka that Heidegger is even a much better reason to go to Freiburg than Husserl.</w:t>
      </w:r>
      <w:r>
        <w:rPr>
          <w:rStyle w:val="Ukotvenpoznmkypodarou"/>
          <w:i w:val="false"/>
          <w:iCs w:val="false"/>
          <w:lang w:val="en-US"/>
        </w:rPr>
        <w:footnoteReference w:id="5"/>
      </w:r>
    </w:p>
    <w:p>
      <w:pPr>
        <w:pStyle w:val="Normal"/>
        <w:bidi w:val="0"/>
        <w:spacing w:lineRule="auto" w:line="264"/>
        <w:jc w:val="left"/>
        <w:rPr>
          <w:i w:val="false"/>
          <w:i w:val="false"/>
          <w:iCs w:val="false"/>
        </w:rPr>
      </w:pPr>
      <w:r>
        <w:rPr>
          <w:i w:val="false"/>
          <w:iCs w:val="false"/>
        </w:rPr>
      </w:r>
    </w:p>
    <w:p>
      <w:pPr>
        <w:pStyle w:val="Normal"/>
        <w:bidi w:val="0"/>
        <w:spacing w:lineRule="auto" w:line="264"/>
        <w:jc w:val="left"/>
        <w:rPr>
          <w:lang w:val="en-US"/>
        </w:rPr>
      </w:pPr>
      <w:r>
        <w:rPr>
          <w:i w:val="false"/>
          <w:iCs w:val="false"/>
          <w:lang w:val="en-US"/>
        </w:rPr>
        <w:tab/>
        <w:t>In an interview conducted by Josef Zumr in 1967,</w:t>
      </w:r>
      <w:r>
        <w:rPr>
          <w:rStyle w:val="Ukotvenpoznmkypodarou"/>
          <w:i w:val="false"/>
          <w:iCs w:val="false"/>
          <w:lang w:val="en-US"/>
        </w:rPr>
        <w:footnoteReference w:id="6"/>
      </w:r>
      <w:r>
        <w:rPr>
          <w:i w:val="false"/>
          <w:iCs w:val="false"/>
          <w:lang w:val="en-US"/>
        </w:rPr>
        <w:t xml:space="preserve"> Patočka described his Freiburg semester as follows:</w:t>
      </w:r>
    </w:p>
    <w:p>
      <w:pPr>
        <w:pStyle w:val="Normal"/>
        <w:bidi w:val="0"/>
        <w:spacing w:lineRule="auto" w:line="252"/>
        <w:ind w:left="709" w:right="0" w:hanging="0"/>
        <w:jc w:val="left"/>
        <w:rPr/>
      </w:pPr>
      <w:r>
        <w:rPr>
          <w:i w:val="false"/>
          <w:iCs w:val="false"/>
          <w:lang w:val="en-US"/>
        </w:rPr>
        <w:t>„</w:t>
      </w:r>
      <w:r>
        <w:rPr>
          <w:i w:val="false"/>
          <w:iCs w:val="false"/>
          <w:lang w:val="en-US"/>
        </w:rPr>
        <w:t xml:space="preserve">Husserl, though already retired, accepted me with open arms. He warned me against attempts to combine his philosophy with that of Heidegger, and he even wished me not to attend Heidegger’s lectures – which I nonetheless was obliged to do according to the conditions of the stipend, as I loyally pointed out. He gave me a lot of his attention and time and, most importantly, he asked his assistant Eugen Fink to systematically discuss with me basic problems of the introduction to phenomenology. Fink was an excellent teacher, perhaps even too brilliant: he used to start from a commonly accepted view, which he next refuted point by point and turned upside down – he was able to see and to analyze in a unique manner. Husserl then wanted me to summarize my talks with Fink, and in response he spoke himself and asked questions, mostly during our common walks. – Privately, Fink was much interested in the differences between Husserl and Heidegger, and he lent me a variety of Heidegger’s older lectures: he could criticize Heidegger masterfully from the standpoint of the current state of Husserl’s phenomenology, but probably also Husserl from the point of view </w:t>
      </w:r>
      <w:r>
        <w:rPr>
          <w:i w:val="false"/>
          <w:iCs w:val="false"/>
          <w:lang w:val="en-US"/>
        </w:rPr>
        <w:t xml:space="preserve">of </w:t>
      </w:r>
    </w:p>
    <w:p>
      <w:pPr>
        <w:pStyle w:val="Normal"/>
        <w:bidi w:val="0"/>
        <w:spacing w:lineRule="auto" w:line="252"/>
        <w:ind w:left="709" w:right="0" w:hanging="0"/>
        <w:jc w:val="left"/>
        <w:rPr>
          <w:lang w:val="en-US"/>
        </w:rPr>
      </w:pPr>
      <w:r>
        <w:rPr>
          <w:i w:val="false"/>
          <w:iCs w:val="false"/>
          <w:lang w:val="en-US"/>
        </w:rPr>
        <w:t>Heidegger, which he put into practice only later.</w:t>
      </w:r>
    </w:p>
    <w:p>
      <w:pPr>
        <w:pStyle w:val="Normal"/>
        <w:bidi w:val="0"/>
        <w:spacing w:lineRule="auto" w:line="252"/>
        <w:ind w:left="709" w:right="0" w:hanging="0"/>
        <w:jc w:val="left"/>
        <w:rPr/>
      </w:pPr>
      <w:r>
        <w:rPr>
          <w:i w:val="false"/>
          <w:iCs w:val="false"/>
          <w:lang w:val="en-US"/>
        </w:rPr>
        <w:t>I attended Heidegger’s lecture on Hegel and his seminar on the concept of science: but he canceled many classes and was rectoring and rallying instead – this was his worst year. Yet I was attending diligently the seminar of his assistant Werner Brock on Aristotle’s biological writings.“</w:t>
      </w:r>
      <w:r>
        <w:rPr>
          <w:rStyle w:val="Ukotvenpoznmkypodarou"/>
          <w:i w:val="false"/>
          <w:iCs w:val="false"/>
          <w:lang w:val="en-US"/>
        </w:rPr>
        <w:footnoteReference w:id="7"/>
      </w:r>
    </w:p>
    <w:p>
      <w:pPr>
        <w:pStyle w:val="Normal"/>
        <w:bidi w:val="0"/>
        <w:spacing w:lineRule="auto" w:line="252"/>
        <w:ind w:left="709" w:right="0" w:hanging="0"/>
        <w:jc w:val="left"/>
        <w:rPr>
          <w:i w:val="false"/>
          <w:i w:val="false"/>
          <w:iCs w:val="false"/>
          <w:lang w:val="en-US"/>
        </w:rPr>
      </w:pPr>
      <w:r>
        <w:rPr>
          <w:i w:val="false"/>
          <w:iCs w:val="false"/>
          <w:lang w:val="en-US"/>
        </w:rPr>
      </w:r>
    </w:p>
    <w:p>
      <w:pPr>
        <w:pStyle w:val="Normal"/>
        <w:bidi w:val="0"/>
        <w:spacing w:lineRule="auto" w:line="264"/>
        <w:jc w:val="left"/>
        <w:rPr>
          <w:i w:val="false"/>
          <w:i w:val="false"/>
          <w:iCs w:val="false"/>
          <w:lang w:val="en-US"/>
        </w:rPr>
      </w:pPr>
      <w:r>
        <w:rPr>
          <w:i w:val="false"/>
          <w:iCs w:val="false"/>
          <w:lang w:val="en-US"/>
        </w:rPr>
        <w:tab/>
        <w:t>We see that Patočka comes back from Germany with a mixed bag of influences: on the one hand, he starts a close relationship with Husserl and his assistants (and Husserl clearly forms a very high opinion of his young fellow-countryman</w:t>
      </w:r>
      <w:r>
        <w:rPr>
          <w:rStyle w:val="Ukotvenpoznmkypodarou"/>
          <w:i w:val="false"/>
          <w:iCs w:val="false"/>
          <w:lang w:val="en-US"/>
        </w:rPr>
        <w:footnoteReference w:id="8"/>
      </w:r>
      <w:r>
        <w:rPr>
          <w:i w:val="false"/>
          <w:iCs w:val="false"/>
          <w:lang w:val="en-US"/>
        </w:rPr>
        <w:t>), while he does not get anywhere close to Heidegger – and most likely did not wish it either, given the repulsive circumstances. On the other hand, while he was being intensively trained in the Husserlian phenomenology, the two closest discussion partners he had (Klein and Fink) both recognized the importance of Heidegger and provided Patočka with a number of exquisite insights into the content and style of Heidegger’s philosophy, as well as with a number of unpublished records of Heidegger’s teaching (from which the diligent Patočka, of course, took excerpts).</w:t>
      </w:r>
      <w:r>
        <w:rPr>
          <w:rStyle w:val="Ukotvenpoznmkypodarou"/>
          <w:i w:val="false"/>
          <w:iCs w:val="false"/>
          <w:lang w:val="en-US"/>
        </w:rPr>
        <w:footnoteReference w:id="9"/>
      </w:r>
      <w:r>
        <w:rPr>
          <w:i w:val="false"/>
          <w:iCs w:val="false"/>
          <w:lang w:val="en-US"/>
        </w:rPr>
        <w:t xml:space="preserve"> On the top of that, while Patočka apparently was fascinated by the widespread pro-Nazi enthusiasm he was observing, in no way such fascination can be understood as his taking sides with the Nazis. Patočka says quite clearly: “I saw the risen masses, carried by a fresh sentiment of hope, yet turned somehow dreadfully hostile to everything we lived for”,</w:t>
      </w:r>
      <w:r>
        <w:rPr>
          <w:rStyle w:val="Ukotvenpoznmkypodarou"/>
          <w:i w:val="false"/>
          <w:iCs w:val="false"/>
          <w:lang w:val="en-US"/>
        </w:rPr>
        <w:footnoteReference w:id="10"/>
      </w:r>
      <w:r>
        <w:rPr>
          <w:i w:val="false"/>
          <w:iCs w:val="false"/>
          <w:lang w:val="en-US"/>
        </w:rPr>
        <w:t xml:space="preserve"> and he also notices about Brock (who, being Jewish, was to leave his position at the end of the semester): “he concluded the seminar work with immense sobriety, and then the entire audience asked him to provide one more extra class – I saw for the first time from a close distance how to react with integrity and spiritual superiority to ideological persecution.”</w:t>
      </w:r>
      <w:r>
        <w:rPr>
          <w:rStyle w:val="Ukotvenpoznmkypodarou"/>
          <w:i w:val="false"/>
          <w:iCs w:val="false"/>
          <w:lang w:val="en-US"/>
        </w:rPr>
        <w:footnoteReference w:id="11"/>
      </w:r>
    </w:p>
    <w:p>
      <w:pPr>
        <w:pStyle w:val="Normal"/>
        <w:bidi w:val="0"/>
        <w:spacing w:lineRule="auto" w:line="264"/>
        <w:jc w:val="left"/>
        <w:rPr>
          <w:i w:val="false"/>
          <w:i w:val="false"/>
          <w:iCs w:val="false"/>
          <w:lang w:val="en-US"/>
        </w:rPr>
      </w:pPr>
      <w:r>
        <w:rPr>
          <w:i w:val="false"/>
          <w:iCs w:val="false"/>
          <w:lang w:val="en-US"/>
        </w:rPr>
      </w:r>
    </w:p>
    <w:p>
      <w:pPr>
        <w:pStyle w:val="Normal"/>
        <w:bidi w:val="0"/>
        <w:spacing w:lineRule="auto" w:line="264"/>
        <w:jc w:val="left"/>
        <w:rPr>
          <w:i w:val="false"/>
          <w:i w:val="false"/>
          <w:iCs w:val="false"/>
          <w:lang w:val="en-US"/>
        </w:rPr>
      </w:pPr>
      <w:r>
        <w:rPr>
          <w:i w:val="false"/>
          <w:iCs w:val="false"/>
          <w:lang w:val="en-US"/>
        </w:rPr>
        <w:tab/>
        <w:t xml:space="preserve">Back in Prague, Patočka’s main task clearly is to submit the habilitation thesis and to get a university job. The book </w:t>
      </w:r>
      <w:r>
        <w:rPr>
          <w:i/>
          <w:iCs/>
          <w:lang w:val="en-US"/>
        </w:rPr>
        <w:t>Přirozený svět jako filosofický problém</w:t>
      </w:r>
      <w:r>
        <w:rPr>
          <w:i w:val="false"/>
          <w:iCs w:val="false"/>
          <w:lang w:val="en-US"/>
        </w:rPr>
        <w:t xml:space="preserve"> [The Life-World as a Philosophical Problem] is printed in 1936</w:t>
      </w:r>
      <w:r>
        <w:rPr>
          <w:rStyle w:val="Ukotvenpoznmkypodarou"/>
          <w:i w:val="false"/>
          <w:iCs w:val="false"/>
          <w:lang w:val="en-US"/>
        </w:rPr>
        <w:footnoteReference w:id="12"/>
      </w:r>
      <w:r>
        <w:rPr>
          <w:i w:val="false"/>
          <w:iCs w:val="false"/>
          <w:lang w:val="en-US"/>
        </w:rPr>
        <w:t xml:space="preserve"> and accepted (after some adversities) in 1937, and Patočka gets affiliated with the philosophy department at Charles University (he must return to high-school teaching in 1939, when the Nazis close down all Czech universities). However, he certainly did not focus solely on writing the habilitation thesis in 1933-36: he became a secretary in the main Czech philosophical journal </w:t>
      </w:r>
      <w:r>
        <w:rPr>
          <w:i/>
          <w:iCs/>
          <w:lang w:val="en-US"/>
        </w:rPr>
        <w:t>Česká mysl</w:t>
      </w:r>
      <w:r>
        <w:rPr>
          <w:i w:val="false"/>
          <w:iCs w:val="false"/>
          <w:lang w:val="en-US"/>
        </w:rPr>
        <w:t xml:space="preserve">, he published papers and reviews, he was the co-founder of the Prague Philosophical Circle, he co-organized Husserl’s lecture trip to Prague in 1935 (the lectures were subsequently extended into </w:t>
      </w:r>
      <w:r>
        <w:rPr>
          <w:i/>
          <w:iCs/>
          <w:lang w:val="en-US"/>
        </w:rPr>
        <w:t>The Crisis</w:t>
      </w:r>
      <w:r>
        <w:rPr>
          <w:i w:val="false"/>
          <w:iCs w:val="false"/>
          <w:lang w:val="en-US"/>
        </w:rPr>
        <w:t xml:space="preserve"> book) and the important measures to preserve Husserl’s manuscripts.</w:t>
      </w:r>
      <w:r>
        <w:rPr>
          <w:rStyle w:val="Ukotvenpoznmkypodarou"/>
          <w:i w:val="false"/>
          <w:iCs w:val="false"/>
          <w:lang w:val="en-US"/>
        </w:rPr>
        <w:footnoteReference w:id="13"/>
      </w:r>
    </w:p>
    <w:p>
      <w:pPr>
        <w:pStyle w:val="Normal"/>
        <w:bidi w:val="0"/>
        <w:spacing w:lineRule="auto" w:line="264"/>
        <w:jc w:val="left"/>
        <w:rPr>
          <w:i w:val="false"/>
          <w:i w:val="false"/>
          <w:iCs w:val="false"/>
          <w:lang w:val="en-US"/>
        </w:rPr>
      </w:pPr>
      <w:r>
        <w:rPr>
          <w:i w:val="false"/>
          <w:iCs w:val="false"/>
          <w:lang w:val="en-US"/>
        </w:rPr>
      </w:r>
    </w:p>
    <w:p>
      <w:pPr>
        <w:pStyle w:val="Normal"/>
        <w:bidi w:val="0"/>
        <w:spacing w:lineRule="auto" w:line="264"/>
        <w:jc w:val="left"/>
        <w:rPr>
          <w:i w:val="false"/>
          <w:i w:val="false"/>
          <w:iCs w:val="false"/>
          <w:lang w:val="en-US"/>
        </w:rPr>
      </w:pPr>
      <w:r>
        <w:rPr>
          <w:i w:val="false"/>
          <w:iCs w:val="false"/>
          <w:lang w:val="en-US"/>
        </w:rPr>
        <w:tab/>
        <w:t>Philosophically, Patočka is clearly full of Heideggerian inspiration in 1933-34, as we shall see in the next section discussing two of his main papers from that time. However, subsequently he puts his Heidegger-oriented ambitions on a back-burner and focuses on Husserl. There seem to be at least the following four factors playing a role in this re-orientation: (1) the renewed communication with Husserl and the feeling of obligation to proceed along Husserlian lines (several of the listeners of Husserl’s last public lectures, in November 1935 in Prague, felt that this is a testament of a sort, and for Patočka the feeling was reinforced when Husserl gave him his own lectern – that he got from Masaryk in the 1870’s – as a present, making him “the heir to a great tradition”</w:t>
      </w:r>
      <w:r>
        <w:rPr>
          <w:rStyle w:val="Ukotvenpoznmkypodarou"/>
          <w:i w:val="false"/>
          <w:iCs w:val="false"/>
          <w:lang w:val="en-US"/>
        </w:rPr>
        <w:footnoteReference w:id="14"/>
      </w:r>
      <w:r>
        <w:rPr>
          <w:i w:val="false"/>
          <w:iCs w:val="false"/>
          <w:lang w:val="en-US"/>
        </w:rPr>
        <w:t xml:space="preserve">); (2) Husserl’s previous research assistant, Ludwig Landgrebe, arrives to Prague in 1934 and becomes Patočka’s closest discussion partner – but Landgrebe was not a witness of Heidegger’s starry years in Marburg and was less appreciative of Heidegger anyway; (3) around 1934, probably in connection with the invitation to the Prague philosophical congress (its main topic was ‘Philosophy as a Guide to Life’), Husserl’s philosophical activity gets remarkably reinvigorated and the new </w:t>
      </w:r>
      <w:r>
        <w:rPr>
          <w:i/>
          <w:iCs/>
          <w:lang w:val="en-US"/>
        </w:rPr>
        <w:t>Crisis</w:t>
      </w:r>
      <w:r>
        <w:rPr>
          <w:i w:val="false"/>
          <w:iCs w:val="false"/>
          <w:lang w:val="en-US"/>
        </w:rPr>
        <w:t xml:space="preserve"> project becomes rather exciting to those few who happen to learn about it; and (4) after Germany’s rearmament and escalation of internal atrocities, it becomes far clearer that Nazism is a very serious threat, which should be enough to discourage anyone from publicly taking sides with its supporters.</w:t>
      </w:r>
    </w:p>
    <w:p>
      <w:pPr>
        <w:pStyle w:val="Normal"/>
        <w:bidi w:val="0"/>
        <w:spacing w:lineRule="auto" w:line="264"/>
        <w:jc w:val="left"/>
        <w:rPr>
          <w:i w:val="false"/>
          <w:i w:val="false"/>
          <w:iCs w:val="false"/>
          <w:lang w:val="en-US"/>
        </w:rPr>
      </w:pPr>
      <w:r>
        <w:rPr>
          <w:i w:val="false"/>
          <w:iCs w:val="false"/>
          <w:lang w:val="en-US"/>
        </w:rPr>
      </w:r>
    </w:p>
    <w:p>
      <w:pPr>
        <w:pStyle w:val="Normal"/>
        <w:bidi w:val="0"/>
        <w:spacing w:lineRule="auto" w:line="264"/>
        <w:jc w:val="left"/>
        <w:rPr>
          <w:i w:val="false"/>
          <w:i w:val="false"/>
          <w:iCs w:val="false"/>
          <w:lang w:val="en-US"/>
        </w:rPr>
      </w:pPr>
      <w:r>
        <w:rPr>
          <w:i w:val="false"/>
          <w:iCs w:val="false"/>
          <w:lang w:val="en-US"/>
        </w:rPr>
        <w:tab/>
        <w:t xml:space="preserve">In March 1939, Germany crushed what had remained of Czechoslovakia’s independence after the Munich Agreement (of August 1938), and in November 1939 all Czech universities were closed down. Patočka returned to high-school teaching (and, towards the end of the war, he got involved in the ‘total deployment’ manual work). Husserl was dead, Landgrebe left for Louvain with the manuscripts, and the Circle dissolved. It was possible to publish, but not on explicitly Husserlian topics. Patočka, following Husserl’s program from the </w:t>
      </w:r>
      <w:r>
        <w:rPr>
          <w:i/>
          <w:iCs/>
          <w:lang w:val="en-US"/>
        </w:rPr>
        <w:t>Crisis</w:t>
      </w:r>
      <w:r>
        <w:rPr>
          <w:i w:val="false"/>
          <w:iCs w:val="false"/>
          <w:lang w:val="en-US"/>
        </w:rPr>
        <w:t xml:space="preserve"> of rethinking the history of European thought, finds a relatively safe haven in the area of the history of ideas (which will be his main profile again in the ten years after Stalin’s death but before serious liberalization, i.e. 1954-64), but he also drafts a few phenomenological manuscripts (with some discussion and development of Heideggerian ideas), and in the later years of the war he focuses on preparing the courses on the history of philosophy that he delivers 1945-49. He publishes a few papers between 1945 and 1949, but on the whole he seems to adopt the attitude of his teachers, Husserl and Heidegger: to focus on and to consider one’s main output the lecture courses, new for each semester.</w:t>
      </w:r>
    </w:p>
    <w:p>
      <w:pPr>
        <w:pStyle w:val="Normal"/>
        <w:bidi w:val="0"/>
        <w:spacing w:lineRule="auto" w:line="264"/>
        <w:jc w:val="left"/>
        <w:rPr>
          <w:i w:val="false"/>
          <w:i w:val="false"/>
          <w:iCs w:val="false"/>
          <w:lang w:val="en-US"/>
        </w:rPr>
      </w:pPr>
      <w:r>
        <w:rPr>
          <w:i w:val="false"/>
          <w:iCs w:val="false"/>
          <w:lang w:val="en-US"/>
        </w:rPr>
      </w:r>
    </w:p>
    <w:p>
      <w:pPr>
        <w:pStyle w:val="Normal"/>
        <w:bidi w:val="0"/>
        <w:spacing w:lineRule="auto" w:line="264"/>
        <w:jc w:val="left"/>
        <w:rPr>
          <w:i w:val="false"/>
          <w:i w:val="false"/>
          <w:iCs w:val="false"/>
          <w:lang w:val="en-US"/>
        </w:rPr>
      </w:pPr>
      <w:r>
        <w:rPr>
          <w:i w:val="false"/>
          <w:iCs w:val="false"/>
          <w:lang w:val="en-US"/>
        </w:rPr>
      </w:r>
    </w:p>
    <w:p>
      <w:pPr>
        <w:pStyle w:val="Normal"/>
        <w:bidi w:val="0"/>
        <w:spacing w:lineRule="auto" w:line="264"/>
        <w:jc w:val="left"/>
        <w:rPr>
          <w:i w:val="false"/>
          <w:i w:val="false"/>
          <w:iCs w:val="false"/>
          <w:lang w:val="en-US"/>
        </w:rPr>
      </w:pPr>
      <w:r>
        <w:rPr>
          <w:i w:val="false"/>
          <w:iCs w:val="false"/>
          <w:lang w:val="en-US"/>
        </w:rPr>
        <w:t>(ii)</w:t>
      </w:r>
    </w:p>
    <w:p>
      <w:pPr>
        <w:pStyle w:val="Normal"/>
        <w:bidi w:val="0"/>
        <w:spacing w:lineRule="auto" w:line="264"/>
        <w:jc w:val="left"/>
        <w:rPr>
          <w:i w:val="false"/>
          <w:i w:val="false"/>
          <w:iCs w:val="false"/>
          <w:lang w:val="en-US"/>
        </w:rPr>
      </w:pPr>
      <w:r>
        <w:rPr>
          <w:i w:val="false"/>
          <w:iCs w:val="false"/>
          <w:lang w:val="en-US"/>
        </w:rPr>
        <w:t>Next, we should look at the two Heideggerian papers published 1934-35, ‘Několik poznámek k pojmům dějin a dějepisu’ [A few remarks concerning the concepts of history and of historiography]</w:t>
      </w:r>
      <w:r>
        <w:rPr>
          <w:rStyle w:val="Ukotvenpoznmkypodarou"/>
          <w:i w:val="false"/>
          <w:iCs w:val="false"/>
          <w:lang w:val="en-US"/>
        </w:rPr>
        <w:footnoteReference w:id="15"/>
      </w:r>
      <w:r>
        <w:rPr>
          <w:i w:val="false"/>
          <w:iCs w:val="false"/>
          <w:lang w:val="en-US"/>
        </w:rPr>
        <w:t xml:space="preserve"> and ‘Několik poznámek o pojmu světových dějin’ [A few remarks on the concept of world history].</w:t>
      </w:r>
      <w:r>
        <w:rPr>
          <w:rStyle w:val="Ukotvenpoznmkypodarou"/>
          <w:i w:val="false"/>
          <w:iCs w:val="false"/>
          <w:lang w:val="en-US"/>
        </w:rPr>
        <w:footnoteReference w:id="16"/>
      </w:r>
      <w:r>
        <w:rPr>
          <w:i w:val="false"/>
          <w:iCs w:val="false"/>
          <w:lang w:val="en-US"/>
        </w:rPr>
        <w:t xml:space="preserve"> They partially overlap, both starting from the question of status, topic and method of historiography and proceeding towards historicity as a mode of being and history as a storage of life-projects for appropriation. The first was published in a non-professional journal and consequently is somewhat richer in illustration, more personal and less sober (and more explicitly Heideggerian) – but they are both quite peculiar texts: at once informal and densely packed with intuition and argument (most often only sketched or suggested), at once highly ambitious and studiously modest, at once a virtuoso show-off piece (or what a beginner takes for one) and a personal statement.</w:t>
      </w:r>
    </w:p>
    <w:p>
      <w:pPr>
        <w:pStyle w:val="Normal"/>
        <w:bidi w:val="0"/>
        <w:spacing w:lineRule="auto" w:line="264"/>
        <w:jc w:val="left"/>
        <w:rPr>
          <w:rFonts w:ascii="Georgia" w:hAnsi="Georgia"/>
        </w:rPr>
      </w:pPr>
      <w:r>
        <w:rPr/>
      </w:r>
    </w:p>
    <w:p>
      <w:pPr>
        <w:pStyle w:val="Normal"/>
        <w:bidi w:val="0"/>
        <w:spacing w:lineRule="auto" w:line="264"/>
        <w:jc w:val="left"/>
        <w:rPr/>
      </w:pPr>
      <w:r>
        <w:rPr>
          <w:i w:val="false"/>
          <w:iCs w:val="false"/>
          <w:lang w:val="en-US"/>
        </w:rPr>
        <w:tab/>
        <w:t>What made Patočka to chose history and historiography as his topic? First, he was a gifted and diligent young man who had just returned to a somewhat backward province from the philosophical Olympus where he discussed with Gods and demigods. “When I returned to Czechia, I was with all that [i.e. with the projects and problems brought back from Freiburg] nearly completely isolated; nobody understood what I was concerned with, not even the closest friends from the same generation, often more gifted than I,” says Patočka in retrospect.</w:t>
      </w:r>
      <w:r>
        <w:rPr>
          <w:rStyle w:val="Ukotvenpoznmkypodarou"/>
          <w:i w:val="false"/>
          <w:iCs w:val="false"/>
          <w:lang w:val="en-US"/>
        </w:rPr>
        <w:footnoteReference w:id="17"/>
      </w:r>
      <w:r>
        <w:rPr>
          <w:i w:val="false"/>
          <w:iCs w:val="false"/>
          <w:lang w:val="en-US"/>
        </w:rPr>
        <w:t xml:space="preserve"> The fact that, in his Czech writings, he often addressed topics outside of philosophy may have to do not only with the breadth of his interests, but also with a feeling that if he wants to communicate with people of distinction, he needs to mix with historians or literary theorists rather than with philosophers (admittedly, the years 1934-38 were an exception in this respect due to Landgrebe’s staying in Prague, but again the point remains valid with regard to Patočka’s writing in Czech).</w:t>
      </w:r>
      <w:r>
        <w:rPr>
          <w:rStyle w:val="Ukotvenpoznmkypodarou"/>
          <w:i w:val="false"/>
          <w:iCs w:val="false"/>
          <w:lang w:val="en-US"/>
        </w:rPr>
        <w:footnoteReference w:id="18"/>
      </w:r>
      <w:r>
        <w:rPr>
          <w:i w:val="false"/>
          <w:iCs w:val="false"/>
          <w:lang w:val="en-US"/>
        </w:rPr>
        <w:t xml:space="preserve"> </w:t>
      </w:r>
    </w:p>
    <w:p>
      <w:pPr>
        <w:pStyle w:val="Normal"/>
        <w:bidi w:val="0"/>
        <w:spacing w:lineRule="auto" w:line="264"/>
        <w:jc w:val="left"/>
        <w:rPr>
          <w:rFonts w:ascii="Georgia" w:hAnsi="Georgia"/>
        </w:rPr>
      </w:pPr>
      <w:r>
        <w:rPr/>
      </w:r>
    </w:p>
    <w:p>
      <w:pPr>
        <w:pStyle w:val="Normal"/>
        <w:bidi w:val="0"/>
        <w:spacing w:lineRule="auto" w:line="264"/>
        <w:jc w:val="left"/>
        <w:rPr/>
      </w:pPr>
      <w:r>
        <w:rPr>
          <w:i w:val="false"/>
          <w:iCs w:val="false"/>
          <w:lang w:val="en-US"/>
        </w:rPr>
        <w:tab/>
        <w:t>And second, Josef Pekař, one of the most prominent Czech historians of his generation,</w:t>
      </w:r>
      <w:r>
        <w:rPr>
          <w:rStyle w:val="Ukotvenpoznmkypodarou"/>
          <w:i w:val="false"/>
          <w:iCs w:val="false"/>
          <w:lang w:val="en-US"/>
        </w:rPr>
        <w:footnoteReference w:id="19"/>
      </w:r>
      <w:r>
        <w:rPr>
          <w:i w:val="false"/>
          <w:iCs w:val="false"/>
          <w:lang w:val="en-US"/>
        </w:rPr>
        <w:t xml:space="preserve"> mentioned Husserl and quoted Heidegger in his inaugural lecture on the occasion of his becoming the Rector of Charles University in December 1931,</w:t>
      </w:r>
      <w:r>
        <w:rPr>
          <w:rStyle w:val="Ukotvenpoznmkypodarou"/>
          <w:i w:val="false"/>
          <w:iCs w:val="false"/>
          <w:lang w:val="en-US"/>
        </w:rPr>
        <w:footnoteReference w:id="20"/>
      </w:r>
      <w:r>
        <w:rPr>
          <w:i w:val="false"/>
          <w:iCs w:val="false"/>
          <w:lang w:val="en-US"/>
        </w:rPr>
        <w:t xml:space="preserve"> and the subsequent polemics was joint by a number of  Czech intellectuals,</w:t>
      </w:r>
      <w:r>
        <w:rPr>
          <w:rStyle w:val="Ukotvenpoznmkypodarou"/>
          <w:i w:val="false"/>
          <w:iCs w:val="false"/>
          <w:lang w:val="en-US"/>
        </w:rPr>
        <w:footnoteReference w:id="21"/>
      </w:r>
      <w:r>
        <w:rPr>
          <w:i w:val="false"/>
          <w:iCs w:val="false"/>
          <w:lang w:val="en-US"/>
        </w:rPr>
        <w:t xml:space="preserve"> among them T. G. Masaryk, then eighty-two years old Czechoslovak president (but originally, up to his 65, a philosophy professor and Husserl’s close friend from their youth) who did so in a pseudonymous 12-pages long paper published in the leading professional philosophy journal.</w:t>
      </w:r>
      <w:r>
        <w:rPr>
          <w:rStyle w:val="Ukotvenpoznmkypodarou"/>
          <w:i w:val="false"/>
          <w:iCs w:val="false"/>
          <w:lang w:val="en-US"/>
        </w:rPr>
        <w:footnoteReference w:id="22"/>
      </w:r>
      <w:r>
        <w:rPr>
          <w:i w:val="false"/>
          <w:iCs w:val="false"/>
          <w:lang w:val="en-US"/>
        </w:rPr>
        <w:t xml:space="preserve"> The discussion certainly attracted Patočka’s attention already in 1932 (he even reviewed one of the texts critical to Pekař),</w:t>
      </w:r>
      <w:r>
        <w:rPr>
          <w:rStyle w:val="Ukotvenpoznmkypodarou"/>
          <w:i w:val="false"/>
          <w:iCs w:val="false"/>
          <w:lang w:val="en-US"/>
        </w:rPr>
        <w:footnoteReference w:id="23"/>
      </w:r>
      <w:r>
        <w:rPr>
          <w:i w:val="false"/>
          <w:iCs w:val="false"/>
          <w:lang w:val="en-US"/>
        </w:rPr>
        <w:t xml:space="preserve"> and when he returned from Germany with fresh expert knowledge of Husserl and Heidegger, he could have easily felt obliged to join and to deal with the philosophical – and especially with the Heideggerian – portion of the problem.</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 xml:space="preserve">Let us now have a closer look at the texts, and let me choose the later of the papers as the point of departure. Patočka begins with a discussion of what he calls </w:t>
      </w:r>
      <w:r>
        <w:rPr>
          <w:i/>
          <w:iCs/>
          <w:lang w:val="en-US"/>
        </w:rPr>
        <w:t>theory of history</w:t>
      </w:r>
      <w:r>
        <w:rPr>
          <w:i w:val="false"/>
          <w:iCs w:val="false"/>
          <w:lang w:val="en-US"/>
        </w:rPr>
        <w:t>, by which he apparently means the self-understanding of the profession regarding the subject matter and methodology.</w:t>
      </w:r>
      <w:r>
        <w:rPr>
          <w:rStyle w:val="Ukotvenpoznmkypodarou"/>
          <w:i w:val="false"/>
          <w:iCs w:val="false"/>
          <w:lang w:val="en-US"/>
        </w:rPr>
        <w:footnoteReference w:id="24"/>
      </w:r>
      <w:r>
        <w:rPr>
          <w:i w:val="false"/>
          <w:iCs w:val="false"/>
          <w:lang w:val="en-US"/>
        </w:rPr>
        <w:t xml:space="preserve"> Patočka claims that any </w:t>
      </w:r>
      <w:r>
        <w:rPr>
          <w:i/>
          <w:iCs/>
          <w:lang w:val="en-US"/>
        </w:rPr>
        <w:t>intellectualistic</w:t>
      </w:r>
      <w:r>
        <w:rPr>
          <w:i w:val="false"/>
          <w:iCs w:val="false"/>
          <w:lang w:val="en-US"/>
        </w:rPr>
        <w:t xml:space="preserve"> approach to history is hopeless (where intellectualism is an attempt to keep the cognizing intellect out of the picture and to focus purely on the object – to imagine that we can just describe, analyze and explain the data and that our intellectual activity is detached, neutral and transparent).</w:t>
      </w:r>
      <w:r>
        <w:rPr>
          <w:rStyle w:val="Ukotvenpoznmkypodarou"/>
          <w:i w:val="false"/>
          <w:iCs w:val="false"/>
          <w:lang w:val="en-US"/>
        </w:rPr>
        <w:footnoteReference w:id="25"/>
      </w:r>
      <w:r>
        <w:rPr>
          <w:i w:val="false"/>
          <w:iCs w:val="false"/>
          <w:lang w:val="en-US"/>
        </w:rPr>
        <w:t xml:space="preserve"> For an intellectualist, “history is the human past understood as a series of events involving human objects.” In the profession, this approach is represented by “the naive historical positivism: all ‘events’ lay on principally the same ground and history is the system of continuous causal lines which are to be mentally reconstructed in order that the aim, historical knowledge, is achieved.”</w:t>
      </w:r>
      <w:r>
        <w:rPr>
          <w:rStyle w:val="Ukotvenpoznmkypodarou"/>
          <w:i w:val="false"/>
          <w:iCs w:val="false"/>
          <w:lang w:val="en-US"/>
        </w:rPr>
        <w:footnoteReference w:id="26"/>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 xml:space="preserve">According to Patočka, already the Neo-Kantians (namely Rickert) showed that not only such theory is untenable but also that in fact no working historian could have ever followed it – in order to see it, it is enough to realize that while the past is immense the historians necessarily have to </w:t>
      </w:r>
      <w:r>
        <w:rPr>
          <w:i/>
          <w:iCs/>
          <w:lang w:val="en-US"/>
        </w:rPr>
        <w:t>choose their topic</w:t>
      </w:r>
      <w:r>
        <w:rPr>
          <w:i w:val="false"/>
          <w:iCs w:val="false"/>
          <w:lang w:val="en-US"/>
        </w:rPr>
        <w:t>. Nonetheless, despite having been refuted, such naive view of historiography still remains the commonplace – which has to do with the prevailing modern naturalism. When Patočka points out at the crisis of the naturalistic anthropology, he speaks quite like Husserl (it leads to skeptical relativism, intellectualist indifferentism, noncommittal aestheticism etc.); but when it comes to proposing the solution, Patočka says that the key mistake of naturalism is that “it sticks to the same basic type of being, it remains in the same ontological sphere. One of the results of this attitude is … misunderstanding history.”</w:t>
      </w:r>
      <w:r>
        <w:rPr>
          <w:rStyle w:val="Ukotvenpoznmkypodarou"/>
          <w:i w:val="false"/>
          <w:iCs w:val="false"/>
          <w:lang w:val="en-US"/>
        </w:rPr>
        <w:footnoteReference w:id="27"/>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Thus, in order to learn what is history, one needs first to fix one’s ontology (and to abandon the ruling but mistaken ‘objective presence’ monism). On the way there, Patočka speaks for a while about “creative energy” in history, making use of some Bergsonian imagery perhaps in hope that it would facilitate understanding his ideas.</w:t>
      </w:r>
      <w:r>
        <w:rPr>
          <w:rStyle w:val="Ukotvenpoznmkypodarou"/>
          <w:i w:val="false"/>
          <w:iCs w:val="false"/>
          <w:lang w:val="en-US"/>
        </w:rPr>
        <w:footnoteReference w:id="28"/>
      </w:r>
      <w:r>
        <w:rPr>
          <w:i w:val="false"/>
          <w:iCs w:val="false"/>
          <w:lang w:val="en-US"/>
        </w:rPr>
        <w:t xml:space="preserve"> Next, Patočka distinguishes between superficial and deep history. Superficial history is the history of everything that can be objectified and stated, of the facts and data. Deep history is the history of individual and group </w:t>
      </w:r>
      <w:r>
        <w:rPr>
          <w:i/>
          <w:iCs/>
          <w:lang w:val="en-US"/>
        </w:rPr>
        <w:t>life-forms</w:t>
      </w:r>
      <w:r>
        <w:rPr>
          <w:i w:val="false"/>
          <w:iCs w:val="false"/>
          <w:lang w:val="en-US"/>
        </w:rPr>
        <w:t xml:space="preserve"> that get expressed in the events but are not really to be found in them.</w:t>
      </w:r>
      <w:r>
        <w:rPr>
          <w:rStyle w:val="Ukotvenpoznmkypodarou"/>
          <w:i w:val="false"/>
          <w:iCs w:val="false"/>
          <w:lang w:val="en-US"/>
        </w:rPr>
        <w:footnoteReference w:id="29"/>
      </w:r>
      <w:r>
        <w:rPr>
          <w:i w:val="false"/>
          <w:iCs w:val="false"/>
          <w:lang w:val="en-US"/>
        </w:rPr>
        <w:t xml:space="preserve"> In other words, deep history is the history of the world understood as </w:t>
      </w:r>
      <w:r>
        <w:rPr>
          <w:i/>
          <w:iCs/>
          <w:lang w:val="en-US"/>
        </w:rPr>
        <w:t>the environment of human action</w:t>
      </w:r>
      <w:r>
        <w:rPr>
          <w:i w:val="false"/>
          <w:iCs w:val="false"/>
          <w:lang w:val="en-US"/>
        </w:rPr>
        <w:t>.</w:t>
      </w:r>
      <w:r>
        <w:rPr>
          <w:rStyle w:val="Ukotvenpoznmkypodarou"/>
          <w:i w:val="false"/>
          <w:iCs w:val="false"/>
          <w:lang w:val="en-US"/>
        </w:rPr>
        <w:footnoteReference w:id="30"/>
      </w:r>
      <w:r>
        <w:rPr>
          <w:i w:val="false"/>
          <w:iCs w:val="false"/>
          <w:lang w:val="en-US"/>
        </w:rPr>
        <w:t xml:space="preserve"> More precisely, the world in this sense “is the system of potentialities open to a human being at the moment: of potentialities in which one lives and to which one continuously relates in one’s acting.”</w:t>
      </w:r>
      <w:r>
        <w:rPr>
          <w:rStyle w:val="Ukotvenpoznmkypodarou"/>
          <w:i w:val="false"/>
          <w:iCs w:val="false"/>
          <w:lang w:val="en-US"/>
        </w:rPr>
        <w:footnoteReference w:id="31"/>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Now since “the world is what governs our understanding of entities,”</w:t>
      </w:r>
      <w:r>
        <w:rPr>
          <w:rStyle w:val="Ukotvenpoznmkypodarou"/>
          <w:i w:val="false"/>
          <w:iCs w:val="false"/>
          <w:lang w:val="en-US"/>
        </w:rPr>
        <w:footnoteReference w:id="32"/>
      </w:r>
      <w:r>
        <w:rPr>
          <w:i w:val="false"/>
          <w:iCs w:val="false"/>
          <w:lang w:val="en-US"/>
        </w:rPr>
        <w:t xml:space="preserve"> it is clear that superficial history depends on the deep one and that even historians who wish to do merely the superficial history need to rely on their understanding of the relevant life-forms in making sense of their data</w:t>
      </w:r>
      <w:r>
        <w:rPr>
          <w:rStyle w:val="Ukotvenpoznmkypodarou"/>
          <w:i w:val="false"/>
          <w:iCs w:val="false"/>
          <w:lang w:val="en-US"/>
        </w:rPr>
        <w:footnoteReference w:id="33"/>
      </w:r>
      <w:r>
        <w:rPr>
          <w:i w:val="false"/>
          <w:iCs w:val="false"/>
          <w:lang w:val="en-US"/>
        </w:rPr>
        <w:t xml:space="preserve"> (only, if they disregard deep history, they would rely on a naive, uncritically accepted conceptions of life-forms, often to their disadvantage). Thus, the aim of historiography could not be merely reconstruction of historical facts in their interrelations, but above all gaining access to historical facts on the basis of the relevant life-forms, of the historical worlds as systems of open potentialities. The actual historians, remarks Patočka, tend to master such task intuitively, without being aware of its principal significance and philosophical relevance.</w:t>
      </w:r>
      <w:r>
        <w:rPr>
          <w:rStyle w:val="Ukotvenpoznmkypodarou"/>
          <w:i w:val="false"/>
          <w:iCs w:val="false"/>
          <w:lang w:val="en-US"/>
        </w:rPr>
        <w:footnoteReference w:id="34"/>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 xml:space="preserve">And if we return to the issue of philosophical anthropology (announced in the criticism of the naturalistic anthropology above), we see that the question ‘what is history’ is closely related to the question ‘what is human being’ and to the mode of being of us humans. We notice that the selection of historical material (required by Rickert) tends to be based on our non-indifference towards what we understand as </w:t>
      </w:r>
      <w:r>
        <w:rPr>
          <w:i/>
          <w:iCs/>
          <w:lang w:val="en-US"/>
        </w:rPr>
        <w:t>our past</w:t>
      </w:r>
      <w:r>
        <w:rPr>
          <w:i w:val="false"/>
          <w:iCs w:val="false"/>
          <w:lang w:val="en-US"/>
        </w:rPr>
        <w:t xml:space="preserve"> – without it, all of the past would be for us as indifferent as the proverbial snows of the past years (and the study of the past events would be an idle theoretical curiosity). The main reasons of our non-indifference are: (1) our actual life-form, our actual world as a system of open potentialities is the result of historical development, and in order to understand our actual world we should understand that development; (2) the people of the past who contributed to shaping our actual world were, like us, bearers of the struggle of limited freedom, and we cannot but feel compassion with them; and (3) not only the life-form determining what we can do, but also the life-projects determining what we aim to do within such limits very largely stem from the past, and we shape our own lives along the patterns found among our forerunners.</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Let us look more closely at what Patočka says about these three (admittedly interrelated) points. As regards (1), Patočka quotes Humboldt: the purpose of studying history is to “wake up and enliven our sense for the actual”.</w:t>
      </w:r>
      <w:r>
        <w:rPr>
          <w:rStyle w:val="Ukotvenpoznmkypodarou"/>
          <w:i w:val="false"/>
          <w:iCs w:val="false"/>
          <w:lang w:val="en-US"/>
        </w:rPr>
        <w:footnoteReference w:id="35"/>
      </w:r>
      <w:r>
        <w:rPr>
          <w:i w:val="false"/>
          <w:iCs w:val="false"/>
          <w:lang w:val="en-US"/>
        </w:rPr>
        <w:t xml:space="preserve"> Patočka’s description of the life-world (as we may name the world as the environment of human action) is rather sketchy and impressionist, like that of Husserl and of Heidegger – which is to be expected, given that there was no philosophical theory of institutions</w:t>
      </w:r>
      <w:r>
        <w:rPr>
          <w:rStyle w:val="Ukotvenpoznmkypodarou"/>
          <w:i w:val="false"/>
          <w:iCs w:val="false"/>
          <w:lang w:val="en-US"/>
        </w:rPr>
        <w:footnoteReference w:id="36"/>
      </w:r>
      <w:r>
        <w:rPr>
          <w:i w:val="false"/>
          <w:iCs w:val="false"/>
          <w:lang w:val="en-US"/>
        </w:rPr>
        <w:t xml:space="preserve"> available at that time. He says things like “the basic characteristic of historicity is the co-determination of human action by the past,”</w:t>
      </w:r>
      <w:r>
        <w:rPr>
          <w:rStyle w:val="Ukotvenpoznmkypodarou"/>
          <w:i w:val="false"/>
          <w:iCs w:val="false"/>
          <w:lang w:val="en-US"/>
        </w:rPr>
        <w:footnoteReference w:id="37"/>
      </w:r>
      <w:r>
        <w:rPr>
          <w:i w:val="false"/>
          <w:iCs w:val="false"/>
          <w:lang w:val="en-US"/>
        </w:rPr>
        <w:t xml:space="preserve"> for the </w:t>
      </w:r>
      <w:r>
        <w:rPr>
          <w:i/>
          <w:iCs/>
          <w:lang w:val="en-US"/>
        </w:rPr>
        <w:t>formantia</w:t>
      </w:r>
      <w:r>
        <w:rPr>
          <w:i w:val="false"/>
          <w:iCs w:val="false"/>
          <w:lang w:val="en-US"/>
        </w:rPr>
        <w:t xml:space="preserve"> of individual and social life are very largely accepted from the past through tradition – but it not quite clear whether he means by the </w:t>
      </w:r>
      <w:r>
        <w:rPr>
          <w:i/>
          <w:iCs/>
          <w:lang w:val="en-US"/>
        </w:rPr>
        <w:t xml:space="preserve">formantia </w:t>
      </w:r>
      <w:r>
        <w:rPr>
          <w:i w:val="false"/>
          <w:iCs w:val="false"/>
          <w:lang w:val="en-US"/>
        </w:rPr>
        <w:t>only the individual and group life-projects (which is the topic Patočka emphasizes) or the institutional environment of action as well.</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As regards (2), Patočka says the “the world of history is our practical world, the world of our (conscious) interests.”</w:t>
      </w:r>
      <w:r>
        <w:rPr>
          <w:rStyle w:val="Ukotvenpoznmkypodarou"/>
          <w:i w:val="false"/>
          <w:iCs w:val="false"/>
          <w:lang w:val="en-US"/>
        </w:rPr>
        <w:footnoteReference w:id="38"/>
      </w:r>
      <w:r>
        <w:rPr>
          <w:i w:val="false"/>
          <w:iCs w:val="false"/>
          <w:lang w:val="en-US"/>
        </w:rPr>
        <w:t xml:space="preserve"> That is, the agents of historical events were agents in (structurally) the same sense as we are, and their concerns, preferences and skills (while not compatible with the ‘objective presence’ ontology) are a very important component of historical explanation. Now the possible concerns, preferences and skills are themselves (very largely) products of the previous historical development, they are not natural and ahistorical.</w:t>
      </w:r>
      <w:r>
        <w:rPr>
          <w:rStyle w:val="Ukotvenpoznmkypodarou"/>
          <w:i w:val="false"/>
          <w:iCs w:val="false"/>
          <w:lang w:val="en-US"/>
        </w:rPr>
        <w:footnoteReference w:id="39"/>
      </w:r>
      <w:r>
        <w:rPr>
          <w:i w:val="false"/>
          <w:iCs w:val="false"/>
          <w:lang w:val="en-US"/>
        </w:rPr>
        <w:t xml:space="preserve"> But human creativity can bring something new into the already existing configuration, and the novelty can get appropriated and become a part of the stock configuration for the times to come. In the Heideggerian language used by Patočka, human freedom is a limited one, for our life is not just the world-creation in the projected future, “but also thrownness amidst of things.” It is </w:t>
      </w:r>
      <w:r>
        <w:rPr>
          <w:i/>
          <w:iCs/>
          <w:lang w:val="en-US"/>
        </w:rPr>
        <w:t>thrown freedom</w:t>
      </w:r>
      <w:r>
        <w:rPr>
          <w:i w:val="false"/>
          <w:iCs w:val="false"/>
          <w:lang w:val="en-US"/>
        </w:rPr>
        <w:t>, “and that means: all the potentialities of freedom grow up on the basis of what the past locates us into, they are co-determined by what has been. Thus, the past challenges our freedom to come to life in one’s own question.”</w:t>
      </w:r>
      <w:r>
        <w:rPr>
          <w:rStyle w:val="Ukotvenpoznmkypodarou"/>
          <w:i w:val="false"/>
          <w:iCs w:val="false"/>
          <w:lang w:val="en-US"/>
        </w:rPr>
        <w:footnoteReference w:id="40"/>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And, turning to (3), history is a repository of past life-projects, and they are the only stuff from which our own life-project can be built (and freely rebuilt, modified etc.). “History is the way in which our freedom, grasping its resolution, … erects its models and objects of esteem.”</w:t>
      </w:r>
      <w:r>
        <w:rPr>
          <w:rStyle w:val="Ukotvenpoznmkypodarou"/>
          <w:i w:val="false"/>
          <w:iCs w:val="false"/>
          <w:lang w:val="en-US"/>
        </w:rPr>
        <w:footnoteReference w:id="41"/>
      </w:r>
      <w:r>
        <w:rPr>
          <w:i w:val="false"/>
          <w:iCs w:val="false"/>
          <w:lang w:val="en-US"/>
        </w:rPr>
        <w:t xml:space="preserve"> To understand history means to re-create the sense/meaning of the thrown projects of the past, “to repeat the essential, original potentialities uncovered in the past thrownly free resolutions.”</w:t>
      </w:r>
      <w:r>
        <w:rPr>
          <w:rStyle w:val="Ukotvenpoznmkypodarou"/>
          <w:i w:val="false"/>
          <w:iCs w:val="false"/>
          <w:lang w:val="en-US"/>
        </w:rPr>
        <w:footnoteReference w:id="42"/>
      </w:r>
      <w:r>
        <w:rPr>
          <w:i w:val="false"/>
          <w:iCs w:val="false"/>
          <w:lang w:val="en-US"/>
        </w:rPr>
        <w:t xml:space="preserve"> History is needed in order that human freedom can understand itself in its thrownness, in its being conditioned by the situation, and can “overcome unfreedom by accepting the thrownness in criticizing lifeless traditions and suffocating untruths.”</w:t>
      </w:r>
      <w:r>
        <w:rPr>
          <w:rStyle w:val="Ukotvenpoznmkypodarou"/>
          <w:i w:val="false"/>
          <w:iCs w:val="false"/>
          <w:lang w:val="en-US"/>
        </w:rPr>
        <w:footnoteReference w:id="43"/>
      </w:r>
      <w:r>
        <w:rPr>
          <w:i w:val="false"/>
          <w:iCs w:val="false"/>
          <w:lang w:val="en-US"/>
        </w:rPr>
        <w:t xml:space="preserve"> That is why history is unseparable from esteem and love, hatred and repulsion, and ultimately it is, according to Patočka, “a series of freely thrown resolutions.”</w:t>
      </w:r>
      <w:r>
        <w:rPr>
          <w:rStyle w:val="Ukotvenpoznmkypodarou"/>
          <w:i w:val="false"/>
          <w:iCs w:val="false"/>
          <w:lang w:val="en-US"/>
        </w:rPr>
        <w:footnoteReference w:id="44"/>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Such is the main line of exposition in the two papers, brought to a more explicitly Heideggerian territory in the earlier one. We notice that both terminology and content are very largely Heideggerian, with occasional loans from Bergson</w:t>
      </w:r>
      <w:r>
        <w:rPr>
          <w:rStyle w:val="Ukotvenpoznmkypodarou"/>
          <w:i w:val="false"/>
          <w:iCs w:val="false"/>
          <w:lang w:val="en-US"/>
        </w:rPr>
        <w:footnoteReference w:id="45"/>
      </w:r>
      <w:r>
        <w:rPr>
          <w:i w:val="false"/>
          <w:iCs w:val="false"/>
          <w:lang w:val="en-US"/>
        </w:rPr>
        <w:t xml:space="preserve"> and from Husserl. Modes of being, world as a system of open potentialities, historicity, project and thrownness, resolution, repetition – of course, Patočka uses the corresponding Czech expressions, but the reference to Heidegger is very clear. </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On the top of that, Patočka adds a few clearly Heideggerian extras: at the very beginning of the earlier paper Patočka says that it would be futile to try to learn about G-history through historiography</w:t>
      </w:r>
      <w:r>
        <w:rPr>
          <w:rStyle w:val="Ukotvenpoznmkypodarou"/>
          <w:i w:val="false"/>
          <w:iCs w:val="false"/>
          <w:lang w:val="en-US"/>
        </w:rPr>
        <w:footnoteReference w:id="46"/>
      </w:r>
      <w:r>
        <w:rPr>
          <w:i w:val="false"/>
          <w:iCs w:val="false"/>
          <w:lang w:val="en-US"/>
        </w:rPr>
        <w:t xml:space="preserve"> – another direct loan from Heidegger.</w:t>
      </w:r>
      <w:r>
        <w:rPr>
          <w:rStyle w:val="Ukotvenpoznmkypodarou"/>
          <w:i w:val="false"/>
          <w:iCs w:val="false"/>
          <w:lang w:val="en-US"/>
        </w:rPr>
        <w:footnoteReference w:id="47"/>
      </w:r>
      <w:r>
        <w:rPr>
          <w:i w:val="false"/>
          <w:iCs w:val="false"/>
          <w:lang w:val="en-US"/>
        </w:rPr>
        <w:t xml:space="preserve"> In the middle of the paper, Patočka inserts two long paragraphs where he attempts – for the first time in his career – to mediate between Husserl and Heidegger: Heidegger’s arguing that </w:t>
      </w:r>
      <w:r>
        <w:rPr>
          <w:i/>
          <w:iCs/>
          <w:lang w:val="en-US"/>
        </w:rPr>
        <w:t>reflection</w:t>
      </w:r>
      <w:r>
        <w:rPr>
          <w:i w:val="false"/>
          <w:iCs w:val="false"/>
          <w:lang w:val="en-US"/>
        </w:rPr>
        <w:t xml:space="preserve"> is not a viable method is strong and persuasive, but it demolishes the psychological kind of reflection, not necessarily the Husserlian (and it is not clear, according to Patočka, how should we proceed if we completely dismiss reflection).</w:t>
      </w:r>
      <w:r>
        <w:rPr>
          <w:rStyle w:val="Ukotvenpoznmkypodarou"/>
          <w:i w:val="false"/>
          <w:iCs w:val="false"/>
          <w:lang w:val="en-US"/>
        </w:rPr>
        <w:footnoteReference w:id="48"/>
      </w:r>
      <w:r>
        <w:rPr>
          <w:i w:val="false"/>
          <w:iCs w:val="false"/>
          <w:lang w:val="en-US"/>
        </w:rPr>
        <w:t xml:space="preserve"> Here, Patočka mentions Heidegger towards the end of the passage – after ascribing his objections first to “philosophers, influential today and marked by philosophical radicality”</w:t>
      </w:r>
      <w:r>
        <w:rPr>
          <w:rStyle w:val="Ukotvenpoznmkypodarou"/>
          <w:i w:val="false"/>
          <w:iCs w:val="false"/>
          <w:lang w:val="en-US"/>
        </w:rPr>
        <w:footnoteReference w:id="49"/>
      </w:r>
      <w:r>
        <w:rPr>
          <w:i w:val="false"/>
          <w:iCs w:val="false"/>
          <w:lang w:val="en-US"/>
        </w:rPr>
        <w:t xml:space="preserve"> and next to “the above mentioned philosophers”.</w:t>
      </w:r>
      <w:r>
        <w:rPr>
          <w:rStyle w:val="Ukotvenpoznmkypodarou"/>
          <w:i w:val="false"/>
          <w:iCs w:val="false"/>
          <w:lang w:val="en-US"/>
        </w:rPr>
        <w:footnoteReference w:id="50"/>
      </w:r>
      <w:r>
        <w:rPr>
          <w:i w:val="false"/>
          <w:iCs w:val="false"/>
          <w:lang w:val="en-US"/>
        </w:rPr>
        <w:t xml:space="preserve"> It is not clear why he avoids naming names and referring (which will remain a long-standing habit in Patočka); after all, he is not consistent: he ends up mentioning Heidegger twice (the second occasion is the very last line of the earlier paper, where Patočka says simply that the historian “must, in Heidegger’s words, want, quarrel and esteem.”</w:t>
      </w:r>
      <w:r>
        <w:rPr>
          <w:rStyle w:val="Ukotvenpoznmkypodarou"/>
          <w:i w:val="false"/>
          <w:iCs w:val="false"/>
          <w:lang w:val="en-US"/>
        </w:rPr>
        <w:footnoteReference w:id="51"/>
      </w:r>
      <w:r>
        <w:rPr>
          <w:i w:val="false"/>
          <w:iCs w:val="false"/>
          <w:lang w:val="en-US"/>
        </w:rPr>
        <w:t>).</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(iii)</w:t>
      </w:r>
    </w:p>
    <w:p>
      <w:pPr>
        <w:pStyle w:val="Normal"/>
        <w:bidi w:val="0"/>
        <w:spacing w:lineRule="auto" w:line="264"/>
        <w:jc w:val="left"/>
        <w:rPr>
          <w:rFonts w:ascii="Georgia" w:hAnsi="Georgia"/>
          <w:i w:val="false"/>
          <w:i w:val="false"/>
          <w:iCs w:val="false"/>
          <w:lang w:val="en-US"/>
        </w:rPr>
      </w:pPr>
      <w:r>
        <w:rPr>
          <w:i w:val="false"/>
          <w:iCs w:val="false"/>
          <w:lang w:val="en-US"/>
        </w:rPr>
        <w:t>Next, let us look at other Patočka’s discussions of Heidegger in the 1930’s and 1940’s. I mentioned above that before 1932 Patočka did not know Heidegger very well and that after 1934 he largely put Heidegger aside, probably as a result of renewed connection with Husserl and of the attractivity of the new Husserlian conceptions of Life-World and historicity (and perhaps also for political reasons). The two papers discussed in the previous section are thus exceptional in Patočka’s early published output. However, there is a number of scattered remarks about Heidegger in the remaining published pieces, some of them interesting, and there are passages dealing somewhat extensively with Heidegger in manuscript notes written probably in the early 1940’s.</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The little that Patočka says about Heidegger before 1932 is not very interesting either concerning Patočka or concerning Heidegger, but it may be of interest with regard to the overall pattern of early reception of Heidegger: in the dissertation (1931), Patočka refers to Heidegger’s lecture “What Is Metaphysics?” (‘why there is something rather than nothing’)</w:t>
      </w:r>
      <w:r>
        <w:rPr>
          <w:rStyle w:val="Ukotvenpoznmkypodarou"/>
          <w:i w:val="false"/>
          <w:iCs w:val="false"/>
          <w:lang w:val="en-US"/>
        </w:rPr>
        <w:footnoteReference w:id="52"/>
      </w:r>
      <w:r>
        <w:rPr>
          <w:i w:val="false"/>
          <w:iCs w:val="false"/>
          <w:lang w:val="en-US"/>
        </w:rPr>
        <w:t xml:space="preserve"> and includes </w:t>
      </w:r>
      <w:r>
        <w:rPr>
          <w:i/>
          <w:iCs/>
          <w:lang w:val="en-US"/>
        </w:rPr>
        <w:t>Kant und das Problem der Metaphysik</w:t>
      </w:r>
      <w:r>
        <w:rPr>
          <w:i w:val="false"/>
          <w:iCs w:val="false"/>
          <w:lang w:val="en-US"/>
        </w:rPr>
        <w:t xml:space="preserve"> in the list of literature</w:t>
      </w:r>
      <w:r>
        <w:rPr>
          <w:rStyle w:val="Ukotvenpoznmkypodarou"/>
          <w:i w:val="false"/>
          <w:iCs w:val="false"/>
          <w:lang w:val="en-US"/>
        </w:rPr>
        <w:footnoteReference w:id="53"/>
      </w:r>
      <w:r>
        <w:rPr>
          <w:i w:val="false"/>
          <w:iCs w:val="false"/>
          <w:lang w:val="en-US"/>
        </w:rPr>
        <w:t xml:space="preserve"> (without quoting it in the text). Besides, he summarizes briefly Gurvitch’s unfavorable view of Heidegger in his review (1931) of </w:t>
      </w:r>
      <w:r>
        <w:rPr>
          <w:i/>
          <w:iCs/>
          <w:lang w:val="en-US"/>
        </w:rPr>
        <w:t>Les tendances actuelles de la philosophie allemande</w:t>
      </w:r>
      <w:r>
        <w:rPr>
          <w:i w:val="false"/>
          <w:iCs w:val="false"/>
          <w:lang w:val="en-US"/>
        </w:rPr>
        <w:t>.</w:t>
      </w:r>
      <w:r>
        <w:rPr>
          <w:rStyle w:val="Ukotvenpoznmkypodarou"/>
          <w:i w:val="false"/>
          <w:iCs w:val="false"/>
          <w:lang w:val="en-US"/>
        </w:rPr>
        <w:footnoteReference w:id="54"/>
      </w:r>
      <w:r>
        <w:rPr>
          <w:i w:val="false"/>
          <w:iCs w:val="false"/>
          <w:lang w:val="en-US"/>
        </w:rPr>
        <w:t xml:space="preserve"> </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 xml:space="preserve">During 1932, Patočka reads extensively and at some point clearly becomes involved with </w:t>
      </w:r>
      <w:r>
        <w:rPr>
          <w:i/>
          <w:iCs/>
          <w:lang w:val="en-US"/>
        </w:rPr>
        <w:t>Being and Time</w:t>
      </w:r>
      <w:r>
        <w:rPr>
          <w:i w:val="false"/>
          <w:iCs w:val="false"/>
          <w:lang w:val="en-US"/>
        </w:rPr>
        <w:t>. Thus, he says that Heidegger “sharply modifies the concept of phenomenological method (he conceives it as ‘hermeneutics of existence’)” in an encyclopedia entry “Phenomenology” (1932).</w:t>
      </w:r>
      <w:r>
        <w:rPr>
          <w:rStyle w:val="Ukotvenpoznmkypodarou"/>
          <w:i w:val="false"/>
          <w:iCs w:val="false"/>
          <w:lang w:val="en-US"/>
        </w:rPr>
        <w:footnoteReference w:id="55"/>
      </w:r>
      <w:r>
        <w:rPr>
          <w:i w:val="false"/>
          <w:iCs w:val="false"/>
          <w:lang w:val="en-US"/>
        </w:rPr>
        <w:t xml:space="preserve"> In his review (1932) of Reiner’s </w:t>
      </w:r>
      <w:r>
        <w:rPr>
          <w:i/>
          <w:iCs/>
          <w:lang w:val="en-US"/>
        </w:rPr>
        <w:t>Phänomenologie und menschliche Existenz</w:t>
      </w:r>
      <w:r>
        <w:rPr>
          <w:i w:val="false"/>
          <w:iCs w:val="false"/>
          <w:lang w:val="en-US"/>
        </w:rPr>
        <w:t>, Patočka mentions again “hermeneutics of human existence” and a somewhat surprising list of three “areas of human experience (Vorhandenes, Zuhandenes, Wertvolles),”</w:t>
      </w:r>
      <w:r>
        <w:rPr>
          <w:rStyle w:val="Ukotvenpoznmkypodarou"/>
          <w:i w:val="false"/>
          <w:iCs w:val="false"/>
          <w:lang w:val="en-US"/>
        </w:rPr>
        <w:footnoteReference w:id="56"/>
      </w:r>
      <w:r>
        <w:rPr>
          <w:i w:val="false"/>
          <w:iCs w:val="false"/>
          <w:lang w:val="en-US"/>
        </w:rPr>
        <w:t xml:space="preserve"> and the review (1932) of Menzer’s </w:t>
      </w:r>
      <w:r>
        <w:rPr>
          <w:i/>
          <w:iCs/>
          <w:lang w:val="en-US"/>
        </w:rPr>
        <w:t>Deutsche Metaphysik der Gegenwart</w:t>
      </w:r>
      <w:r>
        <w:rPr>
          <w:i w:val="false"/>
          <w:iCs w:val="false"/>
          <w:lang w:val="en-US"/>
        </w:rPr>
        <w:t xml:space="preserve"> documents Patočka’s growing acquaintance with Heidegger, as he criticizes Menzer for relying only on “What Is Metaphysics?” and portions of </w:t>
      </w:r>
      <w:r>
        <w:rPr>
          <w:i/>
          <w:iCs/>
          <w:lang w:val="en-US"/>
        </w:rPr>
        <w:t>Kant und das Problem der Metaphysik</w:t>
      </w:r>
      <w:r>
        <w:rPr>
          <w:i w:val="false"/>
          <w:iCs w:val="false"/>
          <w:lang w:val="en-US"/>
        </w:rPr>
        <w:t>,</w:t>
      </w:r>
      <w:r>
        <w:rPr>
          <w:i/>
          <w:iCs/>
          <w:lang w:val="en-US"/>
        </w:rPr>
        <w:t xml:space="preserve"> </w:t>
      </w:r>
      <w:r>
        <w:rPr>
          <w:i w:val="false"/>
          <w:iCs w:val="false"/>
          <w:lang w:val="en-US"/>
        </w:rPr>
        <w:t>not on the “main work” (and anyway for misunderstanding Heidegger thoroughly).</w:t>
      </w:r>
      <w:r>
        <w:rPr>
          <w:rStyle w:val="Ukotvenpoznmkypodarou"/>
          <w:i w:val="false"/>
          <w:iCs w:val="false"/>
          <w:lang w:val="en-US"/>
        </w:rPr>
        <w:footnoteReference w:id="57"/>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pPr>
      <w:r>
        <w:rPr>
          <w:i w:val="false"/>
          <w:iCs w:val="false"/>
          <w:lang w:val="en-US"/>
        </w:rPr>
        <w:tab/>
        <w:t>Thus, it is likely that Patočka approached Klein and Fink in 1932-33 already seriously acquainted with Heidegger’s published work. His understanding of Heidegger must have improved very much thanks to discussions with Klein and Fink, to attending Heidegger’s classes and to reading student notes from Heidegger’s earlier teaching (and in the previous section, we saw young Patočka making use of his improved knowledge and understanding focusing on historicity). In the rest of this section, I shall point out to a few passages that show further aspects of Patočka’s ripening knowledge of Heidegger in 1934-1949.</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In a survey paper “Metaphysics in the 20</w:t>
      </w:r>
      <w:r>
        <w:rPr>
          <w:i w:val="false"/>
          <w:iCs w:val="false"/>
          <w:vertAlign w:val="superscript"/>
          <w:lang w:val="en-US"/>
        </w:rPr>
        <w:t>th</w:t>
      </w:r>
      <w:r>
        <w:rPr>
          <w:i w:val="false"/>
          <w:iCs w:val="false"/>
          <w:lang w:val="en-US"/>
        </w:rPr>
        <w:t xml:space="preserve"> Century” (1934), Patočka gives Heidegger some 30-lines long intelligent summary that includes the standard view of </w:t>
      </w:r>
      <w:r>
        <w:rPr>
          <w:i/>
          <w:iCs/>
          <w:lang w:val="en-US"/>
        </w:rPr>
        <w:t>Dasein</w:t>
      </w:r>
      <w:r>
        <w:rPr>
          <w:i w:val="false"/>
          <w:iCs w:val="false"/>
          <w:lang w:val="en-US"/>
        </w:rPr>
        <w:t>, project and thrownness, finitude, coping, world, authenticity, care, temporality and resolution.</w:t>
      </w:r>
      <w:r>
        <w:rPr>
          <w:rStyle w:val="Ukotvenpoznmkypodarou"/>
          <w:i w:val="false"/>
          <w:iCs w:val="false"/>
          <w:lang w:val="en-US"/>
        </w:rPr>
        <w:footnoteReference w:id="58"/>
      </w:r>
      <w:r>
        <w:rPr>
          <w:i w:val="false"/>
          <w:iCs w:val="false"/>
          <w:lang w:val="en-US"/>
        </w:rPr>
        <w:t xml:space="preserve"> In his review (1934) of the Société Thomiste volume </w:t>
      </w:r>
      <w:r>
        <w:rPr>
          <w:i/>
          <w:iCs/>
          <w:lang w:val="en-US"/>
        </w:rPr>
        <w:t>La phénoménologie</w:t>
      </w:r>
      <w:r>
        <w:rPr>
          <w:i w:val="false"/>
          <w:iCs w:val="false"/>
          <w:lang w:val="en-US"/>
        </w:rPr>
        <w:t xml:space="preserve">, Patočka remarks that Heidegger’s attitude towards Husserlian </w:t>
      </w:r>
      <w:r>
        <w:rPr>
          <w:i/>
          <w:iCs/>
          <w:lang w:val="en-US"/>
        </w:rPr>
        <w:t>reduction</w:t>
      </w:r>
      <w:r>
        <w:rPr>
          <w:i w:val="false"/>
          <w:iCs w:val="false"/>
          <w:lang w:val="en-US"/>
        </w:rPr>
        <w:t xml:space="preserve"> is not an absolute rejection, contrary to what many people say.</w:t>
      </w:r>
      <w:r>
        <w:rPr>
          <w:rStyle w:val="Ukotvenpoznmkypodarou"/>
          <w:i w:val="false"/>
          <w:iCs w:val="false"/>
          <w:lang w:val="en-US"/>
        </w:rPr>
        <w:footnoteReference w:id="59"/>
      </w:r>
      <w:r>
        <w:rPr>
          <w:i w:val="false"/>
          <w:iCs w:val="false"/>
          <w:lang w:val="en-US"/>
        </w:rPr>
        <w:t xml:space="preserve"> In his review (1938) of Straus’ </w:t>
      </w:r>
      <w:r>
        <w:rPr>
          <w:i/>
          <w:iCs/>
          <w:lang w:val="en-US"/>
        </w:rPr>
        <w:t>Vom Sinn der Sinne</w:t>
      </w:r>
      <w:r>
        <w:rPr>
          <w:i w:val="false"/>
          <w:iCs w:val="false"/>
          <w:lang w:val="en-US"/>
        </w:rPr>
        <w:t xml:space="preserve"> Patočka notices how attractive Heidegger’s phenomenology is for recent psychiatrists, Binswanger and von Gebsattel as well as Straus.</w:t>
      </w:r>
      <w:r>
        <w:rPr>
          <w:rStyle w:val="Ukotvenpoznmkypodarou"/>
          <w:i w:val="false"/>
          <w:iCs w:val="false"/>
          <w:lang w:val="en-US"/>
        </w:rPr>
        <w:footnoteReference w:id="60"/>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 xml:space="preserve">The most interesting (from our point of view) of Patočka’s early reviews is that (1942) of O. F. Bollnow’s </w:t>
      </w:r>
      <w:r>
        <w:rPr>
          <w:i/>
          <w:iCs/>
          <w:lang w:val="en-US"/>
        </w:rPr>
        <w:t>Das Wesen der Stimmungen</w:t>
      </w:r>
      <w:r>
        <w:rPr>
          <w:i w:val="false"/>
          <w:iCs w:val="false"/>
          <w:lang w:val="en-US"/>
        </w:rPr>
        <w:t>. Bollnow complains that Heidegger one-sidedly emphasizes anxiety and neglects such elevated moods in which “the burden of life, far from being hidden, comes into play negatively in its complete disappearance. These are not states of mere forgetting, but rather the peak life moments of which we are not ashamed but which we rather desire, and which are thus different both from Heidegger’s resolution (…) and from the level of inauthenticity.”</w:t>
      </w:r>
      <w:r>
        <w:rPr>
          <w:rStyle w:val="Ukotvenpoznmkypodarou"/>
          <w:i w:val="false"/>
          <w:iCs w:val="false"/>
          <w:lang w:val="en-US"/>
        </w:rPr>
        <w:footnoteReference w:id="61"/>
      </w:r>
      <w:r>
        <w:rPr>
          <w:i w:val="false"/>
          <w:iCs w:val="false"/>
          <w:lang w:val="en-US"/>
        </w:rPr>
        <w:t xml:space="preserve"> Patočka reports that Bollnow supports his conception by interpretation of altered states of consciousness (on mescalin), of Proust and of Nietzsche.</w:t>
      </w:r>
      <w:r>
        <w:rPr>
          <w:rStyle w:val="Ukotvenpoznmkypodarou"/>
          <w:i w:val="false"/>
          <w:iCs w:val="false"/>
          <w:lang w:val="en-US"/>
        </w:rPr>
        <w:footnoteReference w:id="62"/>
      </w:r>
      <w:r>
        <w:rPr>
          <w:i w:val="false"/>
          <w:iCs w:val="false"/>
          <w:lang w:val="en-US"/>
        </w:rPr>
        <w:t xml:space="preserve"> Overall, Bollnow sticks to Heidegger’s view that moods both unlock the world and generate potentialities of one’s life; he just insists that swinging between the elevated and the anxious pole is required in order that a strong character can be built up. Patočka mentions disapprovingly H. Mörchen’s polemic reply to Bollnow (that Heidegger’s conception is a perfect unity that cannot be supplemented) and characterizes Heidegger’s position as “forced heroism”.</w:t>
      </w:r>
      <w:r>
        <w:rPr>
          <w:rStyle w:val="Ukotvenpoznmkypodarou"/>
          <w:i w:val="false"/>
          <w:iCs w:val="false"/>
          <w:lang w:val="en-US"/>
        </w:rPr>
        <w:footnoteReference w:id="63"/>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In Patočka’s habilitation thesis (1936),</w:t>
      </w:r>
      <w:r>
        <w:rPr>
          <w:rStyle w:val="Ukotvenpoznmkypodarou"/>
          <w:i w:val="false"/>
          <w:iCs w:val="false"/>
          <w:lang w:val="en-US"/>
        </w:rPr>
        <w:footnoteReference w:id="64"/>
      </w:r>
      <w:r>
        <w:rPr>
          <w:i w:val="false"/>
          <w:iCs w:val="false"/>
          <w:lang w:val="en-US"/>
        </w:rPr>
        <w:t xml:space="preserve"> Heidegger’s presence is set on low. He is mentioned or quoted five times, but mostly as a scholar whose work is relevant but can be left aside. The most affirmative are two short passages (3 to 5 lines) where Patočka appreciates Heidegger’s conception of the world</w:t>
      </w:r>
      <w:r>
        <w:rPr>
          <w:rStyle w:val="Ukotvenpoznmkypodarou"/>
          <w:i w:val="false"/>
          <w:iCs w:val="false"/>
          <w:lang w:val="en-US"/>
        </w:rPr>
        <w:footnoteReference w:id="65"/>
      </w:r>
      <w:r>
        <w:rPr>
          <w:i w:val="false"/>
          <w:iCs w:val="false"/>
          <w:lang w:val="en-US"/>
        </w:rPr>
        <w:t xml:space="preserve"> and his explanation of the vulgar concept of time</w:t>
      </w:r>
      <w:r>
        <w:rPr>
          <w:rStyle w:val="Ukotvenpoznmkypodarou"/>
          <w:i w:val="false"/>
          <w:iCs w:val="false"/>
          <w:lang w:val="en-US"/>
        </w:rPr>
        <w:footnoteReference w:id="66"/>
      </w:r>
      <w:r>
        <w:rPr>
          <w:i w:val="false"/>
          <w:iCs w:val="false"/>
          <w:lang w:val="en-US"/>
        </w:rPr>
        <w:t xml:space="preserve"> – without going into any details. Elsewhere, e.g. in a short passage about moods, Patočka does not mention Heidegger and avoids specifically Heideggerian approach.</w:t>
      </w:r>
      <w:r>
        <w:rPr>
          <w:rStyle w:val="Ukotvenpoznmkypodarou"/>
          <w:i w:val="false"/>
          <w:iCs w:val="false"/>
          <w:lang w:val="en-US"/>
        </w:rPr>
        <w:footnoteReference w:id="67"/>
      </w:r>
      <w:r>
        <w:rPr>
          <w:i w:val="false"/>
          <w:iCs w:val="false"/>
          <w:lang w:val="en-US"/>
        </w:rPr>
        <w:t xml:space="preserve"> As we know now, Patočka expected difficulties in the habilitation procedure (and he was right),</w:t>
      </w:r>
      <w:r>
        <w:rPr>
          <w:rStyle w:val="Ukotvenpoznmkypodarou"/>
          <w:i w:val="false"/>
          <w:iCs w:val="false"/>
          <w:lang w:val="en-US"/>
        </w:rPr>
        <w:footnoteReference w:id="68"/>
      </w:r>
      <w:r>
        <w:rPr>
          <w:i w:val="false"/>
          <w:iCs w:val="false"/>
          <w:lang w:val="en-US"/>
        </w:rPr>
        <w:t xml:space="preserve"> so it may be the case that, in addition to the incentives mentioned above, he thought it wise to minimize the Heideggerian connection on this special occasion also in order not to provoke the conservative senior faculty staff.</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Patočka’s short essay “Doubts concerning Existentialism”</w:t>
      </w:r>
      <w:r>
        <w:rPr>
          <w:rStyle w:val="Ukotvenpoznmkypodarou"/>
          <w:i w:val="false"/>
          <w:iCs w:val="false"/>
          <w:lang w:val="en-US"/>
        </w:rPr>
        <w:footnoteReference w:id="69"/>
      </w:r>
      <w:r>
        <w:rPr>
          <w:i w:val="false"/>
          <w:iCs w:val="false"/>
          <w:lang w:val="en-US"/>
        </w:rPr>
        <w:t xml:space="preserve"> (1947) is mainly about Sartre, but Heidegger serves as a term of comparison. Patočka interprets existentialism as a puzzling hybrid of sober transcendentalism seeking for an outworldly condition of all worldly appearance on the one hand, and of passionate self-proclamation of human being as a finite unreflective intraworldly creature on the other. This seems to be true, according to Patočka, of Kierkeggard, Jaspers, Heidegger and Sartre.</w:t>
      </w:r>
      <w:r>
        <w:rPr>
          <w:rStyle w:val="Ukotvenpoznmkypodarou"/>
          <w:i w:val="false"/>
          <w:iCs w:val="false"/>
          <w:lang w:val="en-US"/>
        </w:rPr>
        <w:footnoteReference w:id="70"/>
      </w:r>
      <w:r>
        <w:rPr>
          <w:i w:val="false"/>
          <w:iCs w:val="false"/>
          <w:lang w:val="en-US"/>
        </w:rPr>
        <w:t xml:space="preserve"> He says that the position of those existentialists who “do not attempt to philosophize systematically and are satisfied with a protest against the philosophy that strives for objectivity without passion and without self-exposition” is easier than the position of those who (like Heidegger and Sartre) “wish to find in the concept of existence the key to the great traditional philosophical questions.”</w:t>
      </w:r>
      <w:r>
        <w:rPr>
          <w:rStyle w:val="Ukotvenpoznmkypodarou"/>
          <w:i w:val="false"/>
          <w:iCs w:val="false"/>
          <w:lang w:val="en-US"/>
        </w:rPr>
        <w:footnoteReference w:id="71"/>
      </w:r>
      <w:r>
        <w:rPr>
          <w:i w:val="false"/>
          <w:iCs w:val="false"/>
          <w:lang w:val="en-US"/>
        </w:rPr>
        <w:t xml:space="preserve"> The difficulty consists in unifying the two components, apparently so incompatible, and this leads, according to Patočka, to “the complete absence of psychology in Heidegger, complete absence of inwardness characterized by recognition and reflection”.</w:t>
      </w:r>
      <w:r>
        <w:rPr>
          <w:rStyle w:val="Ukotvenpoznmkypodarou"/>
          <w:i w:val="false"/>
          <w:iCs w:val="false"/>
          <w:lang w:val="en-US"/>
        </w:rPr>
        <w:footnoteReference w:id="72"/>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Besides the published texts, we have a collection of Patočka’s manuscript notes, written probably between 1940 and 1945. Here, Heidegger is again as strongly present as Husserl. Basically, Patočka likes Heidegger as a phenomenologist expanding and modifying the Husserlian conception. He appreciates here again Heidegger’s elaboration of practical intentionality in the concept of project,</w:t>
      </w:r>
      <w:r>
        <w:rPr>
          <w:rStyle w:val="Ukotvenpoznmkypodarou"/>
          <w:i w:val="false"/>
          <w:iCs w:val="false"/>
          <w:lang w:val="en-US"/>
        </w:rPr>
        <w:footnoteReference w:id="73"/>
      </w:r>
      <w:r>
        <w:rPr>
          <w:i w:val="false"/>
          <w:iCs w:val="false"/>
          <w:lang w:val="en-US"/>
        </w:rPr>
        <w:t xml:space="preserve"> the concept of the world as a horizon of projected action,</w:t>
      </w:r>
      <w:r>
        <w:rPr>
          <w:rStyle w:val="Ukotvenpoznmkypodarou"/>
          <w:i w:val="false"/>
          <w:iCs w:val="false"/>
          <w:lang w:val="en-US"/>
        </w:rPr>
        <w:footnoteReference w:id="74"/>
      </w:r>
      <w:r>
        <w:rPr>
          <w:i w:val="false"/>
          <w:iCs w:val="false"/>
          <w:lang w:val="en-US"/>
        </w:rPr>
        <w:t xml:space="preserve"> and the respect for human finitude reflected in the concept of thrownness. Besides, Patočka finds it in general attractive to expand the Husserlian conception towards moods</w:t>
      </w:r>
      <w:r>
        <w:rPr>
          <w:rStyle w:val="Ukotvenpoznmkypodarou"/>
          <w:i w:val="false"/>
          <w:iCs w:val="false"/>
          <w:lang w:val="en-US"/>
        </w:rPr>
        <w:footnoteReference w:id="75"/>
      </w:r>
      <w:r>
        <w:rPr>
          <w:i w:val="false"/>
          <w:iCs w:val="false"/>
          <w:lang w:val="en-US"/>
        </w:rPr>
        <w:t xml:space="preserve"> and towards the drama of responsible finite freedom. But he increasingly realizes that the particular steps of Heidegger’s pursuing his ‘existential’ agenda are (1) arbitrary and one-sided, and (2) preventing even a minimally rich description of the limited freedom, the phenomena of human deliberation, choice, struggle and learning from one’s mistakes through retrospective evaluation, often in the light of other people’s criticism and/or approval.</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Anxiety, boredom and death are important (and Heidegger’s analyses are often brilliant), but they may not be as central and as mighty as Heidegger apparently thinks, both in philosophical theory and in human life as it is actually lived.</w:t>
      </w:r>
      <w:r>
        <w:rPr>
          <w:rStyle w:val="Ukotvenpoznmkypodarou"/>
          <w:i w:val="false"/>
          <w:iCs w:val="false"/>
          <w:lang w:val="en-US"/>
        </w:rPr>
        <w:footnoteReference w:id="76"/>
      </w:r>
      <w:r>
        <w:rPr>
          <w:i w:val="false"/>
          <w:iCs w:val="false"/>
          <w:lang w:val="en-US"/>
        </w:rPr>
        <w:t xml:space="preserve"> And Patočka grows more and more impatient with Heidegger’s views of resolution and of the forced and lonely heroism. Ultimately, Patočka is going to consider Heidegger as successful more in opening vistas and in sketching research programs, than in actually fulfilling them.</w:t>
      </w:r>
      <w:r>
        <w:rPr>
          <w:rStyle w:val="Ukotvenpoznmkypodarou"/>
          <w:i w:val="false"/>
          <w:iCs w:val="false"/>
          <w:lang w:val="en-US"/>
        </w:rPr>
        <w:footnoteReference w:id="77"/>
      </w:r>
      <w:r>
        <w:rPr>
          <w:i w:val="false"/>
          <w:iCs w:val="false"/>
          <w:lang w:val="en-US"/>
        </w:rPr>
        <w:t xml:space="preserve"> Slowly and tentatively, Patočka was building his own ways of responding to Heideggerian challenges: on these ways, he paid more attention than Heidegger to phenomena like embodiment, intersubjectivity, elevated moods or historical change, and developed his own version of philosophical heroism.</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(iv)</w:t>
      </w:r>
    </w:p>
    <w:p>
      <w:pPr>
        <w:pStyle w:val="Normal"/>
        <w:bidi w:val="0"/>
        <w:spacing w:lineRule="auto" w:line="264"/>
        <w:jc w:val="left"/>
        <w:rPr>
          <w:rFonts w:ascii="Georgia" w:hAnsi="Georgia"/>
          <w:i w:val="false"/>
          <w:i w:val="false"/>
          <w:iCs w:val="false"/>
          <w:lang w:val="en-US"/>
        </w:rPr>
      </w:pPr>
      <w:r>
        <w:rPr>
          <w:i w:val="false"/>
          <w:iCs w:val="false"/>
          <w:lang w:val="en-US"/>
        </w:rPr>
        <w:t xml:space="preserve">The last section of this chapter is a little bit more daring than the previous ones. Here, I’d like to interpret Patočka’s remarkable lecture course on </w:t>
      </w:r>
      <w:r>
        <w:rPr>
          <w:i/>
          <w:iCs/>
          <w:lang w:val="en-US"/>
        </w:rPr>
        <w:t>Socrates</w:t>
      </w:r>
      <w:r>
        <w:rPr>
          <w:i w:val="false"/>
          <w:iCs w:val="false"/>
          <w:lang w:val="en-US"/>
        </w:rPr>
        <w:t xml:space="preserve"> (delivered 1946) along ‘existentialist’ lines and to trace Heideggerian motives in it. We shall see that Heidegger’s name is absent here – but that Patočka’s thought has already adopted (and modified) some Heidegger’s ways of doing philosophy.</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The written version of the course consists of six chapters. In the first chapter, Patočka provides a preliminary orientation in the hermeneutic situation, a survey of existing conceptions and a plan of the course. In the second chapter, Patočka discusses the Attic tragedy and the sophistic movement as two important preconditions of Socrates’ philosophy. The third chapter is a survey of what is known about Socrates’ life. In the remaining three chapters, Patočka discusses various aspects of Socrates’ philosophy.</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In the first chapter, Patočka applies a complex strategy. He flatly states at the very beginning of the course that the historical Socrates escapes the techniques of H-history (which he represents as united with classical philology for this historical epoch), and he parades the standard arguments leading to this conclusion: the naive adherence to Plato as the source was criticized in the Enlightenment and for a while, Xenophon was considered far more reliable given the lack of his own philosophical agenda; however, Xenophon was not on the spot for most of the time and must have used other sources whose reliability we cannot check (and, of course, we don’t have a single word of Socrates’ own writing). Thus, the methods of critical analysis conclude that Socrates could have been a myth – except for the fact that someone whom Plato calles Socrates was of tremendous influence on the historical Plato and that, from the greatness of Plato, we can indirectly estimate the greatness of his beloved master (which is enough to rule out the shallow ‘clever man pretending he is not’ picture in Xenophon).</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 xml:space="preserve">This part of the procedure reminds one of phenomenological </w:t>
      </w:r>
      <w:r>
        <w:rPr>
          <w:i/>
          <w:iCs/>
          <w:lang w:val="en-US"/>
        </w:rPr>
        <w:t>epochē</w:t>
      </w:r>
      <w:r>
        <w:rPr>
          <w:i w:val="false"/>
          <w:iCs w:val="false"/>
          <w:lang w:val="en-US"/>
        </w:rPr>
        <w:t>: the students who enrolled the course no doubt had heard and/or read a lot about Socrates and expected to learn even much more and much more precise from the expert (remember that most students were sophomore or younger in the autumn 1946, as there were no Czech university students in 1939-45), and Patočka’s first exposition goes straightly against such expectation: the H-history experts could say very little – perhaps nothing – about Socrates. Fortunately, there is G-history coming to our rescue: in so far as we are adepts of philosophy (a tradition reliably originating in Socrates plus Plato), our best chances to learn about Socrates lay not in the past but in our own future. In our own being questioned and refuted we experience structurally (</w:t>
      </w:r>
      <w:r>
        <w:rPr>
          <w:i/>
          <w:iCs/>
          <w:lang w:val="en-US"/>
        </w:rPr>
        <w:t>eidetically</w:t>
      </w:r>
      <w:r>
        <w:rPr>
          <w:i w:val="false"/>
          <w:iCs w:val="false"/>
          <w:lang w:val="en-US"/>
        </w:rPr>
        <w:t>) the same as what Plato and his contemporaries experienced from Socrates, and the events of our own philosophical training are events of re-creating, re-enowning philosophy in its archetypical experience.</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pPr>
      <w:r>
        <w:rPr>
          <w:i w:val="false"/>
          <w:iCs w:val="false"/>
          <w:lang w:val="en-US"/>
        </w:rPr>
        <w:tab/>
        <w:t>In Patočka’s words, the important message to learn concerning Socrates, “that what Socrates cares for, we can hear only if we don’t study him as an object, as a remarkable curiosity, but when we enter into a discussion with him, when we experience being changed and refuted in our certainties and our presumed knowledge.”</w:t>
      </w:r>
      <w:r>
        <w:rPr>
          <w:rStyle w:val="Ukotvenpoznmkypodarou"/>
          <w:i w:val="false"/>
          <w:iCs w:val="false"/>
          <w:lang w:val="en-US"/>
        </w:rPr>
        <w:footnoteReference w:id="78"/>
      </w:r>
      <w:r>
        <w:rPr>
          <w:i w:val="false"/>
          <w:iCs w:val="false"/>
          <w:lang w:val="en-US"/>
        </w:rPr>
        <w:t xml:space="preserve"> Consequently, the plan of the course is: after learning (in chapters 2 and 3) as much as the H-history (the classics) can provide, “we need above all to watch attentively Socrates as the awakener, as the one who calls people to look into their own eyes, who challenges them not only to have courage to live, but to know who (s)he is who lives in them; as the relentless exposer who performs not in play but out of worry that we might miss the substance of our lives – the substance that Socrates calls </w:t>
      </w:r>
      <w:r>
        <w:rPr>
          <w:i/>
          <w:iCs/>
          <w:lang w:val="en-US"/>
        </w:rPr>
        <w:t>psychē</w:t>
      </w:r>
      <w:r>
        <w:rPr>
          <w:i w:val="false"/>
          <w:iCs w:val="false"/>
          <w:lang w:val="en-US"/>
        </w:rPr>
        <w:t>.”</w:t>
      </w:r>
      <w:r>
        <w:rPr>
          <w:rStyle w:val="Ukotvenpoznmkypodarou"/>
          <w:i w:val="false"/>
          <w:iCs w:val="false"/>
          <w:lang w:val="en-US"/>
        </w:rPr>
        <w:footnoteReference w:id="79"/>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 xml:space="preserve">There is so much of Heidegger in this passage that one could wonder how come that he did not write something similar himself. First, given Heidegger’s calling for </w:t>
      </w:r>
      <w:r>
        <w:rPr>
          <w:i/>
          <w:iCs/>
          <w:lang w:val="en-US"/>
        </w:rPr>
        <w:t>existential concreteness</w:t>
      </w:r>
      <w:r>
        <w:rPr>
          <w:i w:val="false"/>
          <w:iCs w:val="false"/>
          <w:lang w:val="en-US"/>
        </w:rPr>
        <w:t>,</w:t>
      </w:r>
      <w:r>
        <w:rPr>
          <w:rStyle w:val="Ukotvenpoznmkypodarou"/>
          <w:i w:val="false"/>
          <w:iCs w:val="false"/>
          <w:lang w:val="en-US"/>
        </w:rPr>
        <w:footnoteReference w:id="80"/>
      </w:r>
      <w:r>
        <w:rPr>
          <w:i w:val="false"/>
          <w:iCs w:val="false"/>
          <w:lang w:val="en-US"/>
        </w:rPr>
        <w:t xml:space="preserve"> it is odd that he says so little about the everydayness of being a philosopher. Second, it is clear that anyone’s </w:t>
      </w:r>
      <w:r>
        <w:rPr>
          <w:i/>
          <w:iCs/>
          <w:lang w:val="en-US"/>
        </w:rPr>
        <w:t>project</w:t>
      </w:r>
      <w:r>
        <w:rPr>
          <w:i w:val="false"/>
          <w:iCs w:val="false"/>
          <w:lang w:val="en-US"/>
        </w:rPr>
        <w:t xml:space="preserve"> of becoming or continuing to be a philosopher grows out of one’s </w:t>
      </w:r>
      <w:r>
        <w:rPr>
          <w:i/>
          <w:iCs/>
          <w:lang w:val="en-US"/>
        </w:rPr>
        <w:t>thrownness</w:t>
      </w:r>
      <w:r>
        <w:rPr>
          <w:i w:val="false"/>
          <w:iCs w:val="false"/>
          <w:lang w:val="en-US"/>
        </w:rPr>
        <w:t xml:space="preserve"> into the facticity of European intellectual history, with its founding event of the beginning of philosophy in Socrates and Plato. The </w:t>
      </w:r>
      <w:r>
        <w:rPr>
          <w:i/>
          <w:iCs/>
          <w:lang w:val="en-US"/>
        </w:rPr>
        <w:t>resolution</w:t>
      </w:r>
      <w:r>
        <w:rPr>
          <w:i w:val="false"/>
          <w:iCs w:val="false"/>
          <w:lang w:val="en-US"/>
        </w:rPr>
        <w:t xml:space="preserve"> is thus a </w:t>
      </w:r>
      <w:r>
        <w:rPr>
          <w:i/>
          <w:iCs/>
          <w:lang w:val="en-US"/>
        </w:rPr>
        <w:t>repeat</w:t>
      </w:r>
      <w:r>
        <w:rPr>
          <w:i w:val="false"/>
          <w:iCs w:val="false"/>
          <w:lang w:val="en-US"/>
        </w:rPr>
        <w:t xml:space="preserve"> of the archetypal potentiality. Third, the case of Socrates illustrates beautifully how H-history is secondary to </w:t>
      </w:r>
      <w:r>
        <w:rPr>
          <w:i/>
          <w:iCs/>
          <w:lang w:val="en-US"/>
        </w:rPr>
        <w:t>G-history</w:t>
      </w:r>
      <w:r>
        <w:rPr>
          <w:i w:val="false"/>
          <w:iCs w:val="false"/>
          <w:lang w:val="en-US"/>
        </w:rPr>
        <w:t xml:space="preserve">. Fourth, the resolution to be like Socrates is quite straightforwardly </w:t>
      </w:r>
      <w:r>
        <w:rPr>
          <w:i/>
          <w:iCs/>
          <w:lang w:val="en-US"/>
        </w:rPr>
        <w:t>‘being-unto-death’</w:t>
      </w:r>
      <w:r>
        <w:rPr>
          <w:i w:val="false"/>
          <w:iCs w:val="false"/>
          <w:lang w:val="en-US"/>
        </w:rPr>
        <w:t xml:space="preserve"> (and accepting it). Fifth, Socrates challenges people to grasp their </w:t>
      </w:r>
      <w:r>
        <w:rPr>
          <w:i/>
          <w:iCs/>
          <w:lang w:val="en-US"/>
        </w:rPr>
        <w:t>authenticity</w:t>
      </w:r>
      <w:r>
        <w:rPr>
          <w:i w:val="false"/>
          <w:iCs w:val="false"/>
          <w:lang w:val="en-US"/>
        </w:rPr>
        <w:t xml:space="preserve">, to become who they really are (and to do so through examining the inauthentic, wherever collected false certainties about how </w:t>
      </w:r>
      <w:r>
        <w:rPr>
          <w:i/>
          <w:iCs/>
          <w:lang w:val="en-US"/>
        </w:rPr>
        <w:t>one is supposed</w:t>
      </w:r>
      <w:r>
        <w:rPr>
          <w:i w:val="false"/>
          <w:iCs w:val="false"/>
          <w:lang w:val="en-US"/>
        </w:rPr>
        <w:t xml:space="preserve"> to lead one’s life). Sixth, the core characteristic of Socrates activity is </w:t>
      </w:r>
      <w:r>
        <w:rPr>
          <w:i/>
          <w:iCs/>
          <w:lang w:val="en-US"/>
        </w:rPr>
        <w:t>epimeleia</w:t>
      </w:r>
      <w:r>
        <w:rPr>
          <w:i w:val="false"/>
          <w:iCs w:val="false"/>
          <w:lang w:val="en-US"/>
        </w:rPr>
        <w:t xml:space="preserve">, as Plato’s Socrates puts it in the </w:t>
      </w:r>
      <w:r>
        <w:rPr>
          <w:i/>
          <w:iCs/>
          <w:lang w:val="en-US"/>
        </w:rPr>
        <w:t>Apology</w:t>
      </w:r>
      <w:r>
        <w:rPr>
          <w:i w:val="false"/>
          <w:iCs w:val="false"/>
          <w:lang w:val="en-US"/>
        </w:rPr>
        <w:t xml:space="preserve"> and elsewhere</w:t>
      </w:r>
      <w:r>
        <w:rPr>
          <w:rStyle w:val="Ukotvenpoznmkypodarou"/>
          <w:i w:val="false"/>
          <w:iCs w:val="false"/>
          <w:lang w:val="en-US"/>
        </w:rPr>
        <w:footnoteReference w:id="81"/>
      </w:r>
      <w:r>
        <w:rPr>
          <w:i w:val="false"/>
          <w:iCs w:val="false"/>
          <w:lang w:val="en-US"/>
        </w:rPr>
        <w:t xml:space="preserve"> – and that is</w:t>
      </w:r>
      <w:r>
        <w:rPr>
          <w:i/>
          <w:iCs/>
          <w:lang w:val="en-US"/>
        </w:rPr>
        <w:t xml:space="preserve"> Sorge</w:t>
      </w:r>
      <w:r>
        <w:rPr>
          <w:i w:val="false"/>
          <w:iCs w:val="false"/>
          <w:lang w:val="en-US"/>
        </w:rPr>
        <w:t>, care (or “starost” in Czech).</w:t>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rFonts w:ascii="Georgia" w:hAnsi="Georgia"/>
          <w:i w:val="false"/>
          <w:i w:val="false"/>
          <w:iCs w:val="false"/>
          <w:lang w:val="en-US"/>
        </w:rPr>
      </w:pPr>
      <w:r>
        <w:rPr>
          <w:i w:val="false"/>
          <w:iCs w:val="false"/>
          <w:lang w:val="en-US"/>
        </w:rPr>
        <w:tab/>
        <w:t>In connection with Attic tragedy, Patočka draws a very existentialist picture of our finite freedom: (1) we cannot refrain from acting (temporality), but (2) most often we act with only limited information (finitude) which opens possibility of doing things we’d rather not do if we knew better, and (3) even if our factual information was as complete as one could wish, we still might find ourselves entangled in a complex and opaque network of conflicting loyalties (thrownness) that make it impossible even for the best person to do the right thing (as there is no one available, given the conflicting legitimate demands on us). Socrates took his main question, ‘how to live a good life?’, indirectly from the tragic authors: “the tragic hero is an embodied question, asked from the depths of human perplexity.”</w:t>
      </w:r>
      <w:r>
        <w:rPr>
          <w:rStyle w:val="Ukotvenpoznmkypodarou"/>
          <w:i w:val="false"/>
          <w:iCs w:val="false"/>
          <w:lang w:val="en-US"/>
        </w:rPr>
        <w:footnoteReference w:id="82"/>
      </w:r>
    </w:p>
    <w:p>
      <w:pPr>
        <w:pStyle w:val="Normal"/>
        <w:bidi w:val="0"/>
        <w:spacing w:lineRule="auto" w:line="264"/>
        <w:jc w:val="left"/>
        <w:rPr>
          <w:rFonts w:ascii="Georgia" w:hAnsi="Georgia"/>
          <w:i w:val="false"/>
          <w:i w:val="false"/>
          <w:iCs w:val="false"/>
          <w:lang w:val="en-US"/>
        </w:rPr>
      </w:pPr>
      <w:r>
        <w:rPr>
          <w:i w:val="false"/>
          <w:iCs w:val="false"/>
          <w:lang w:val="en-US"/>
        </w:rPr>
      </w:r>
    </w:p>
    <w:p>
      <w:pPr>
        <w:pStyle w:val="Normal"/>
        <w:bidi w:val="0"/>
        <w:spacing w:lineRule="auto" w:line="264"/>
        <w:jc w:val="left"/>
        <w:rPr/>
      </w:pPr>
      <w:r>
        <w:rPr>
          <w:i w:val="false"/>
          <w:iCs w:val="false"/>
          <w:lang w:val="en-US"/>
        </w:rPr>
        <w:tab/>
        <w:t>It it tempting to dwell further on this fascinating lecture course. But that should be a topic of a separate study: here, what I wanted to show was how much Patočka absorbed certain important topics and techniques from Heidegger already in the 1940’s, and how he used them freely in his own philosophical work. And, before closing the chapter, let me remark that Patočka’s own resolution to remain faithful to the Socratic project ultimately led him into a struggle in which he showed a remarkable heroism of his own, not only in writing but in action; and – quite like Socrates – somehow made his untimely death a victory for philosophy.</w:t>
      </w:r>
      <w:r>
        <w:rPr>
          <w:rStyle w:val="Ukotvenpoznmkypodarou"/>
          <w:i w:val="false"/>
          <w:iCs w:val="false"/>
          <w:lang w:val="en-US"/>
        </w:rPr>
        <w:footnoteReference w:id="83"/>
      </w:r>
      <w:r>
        <w:rPr>
          <w:rStyle w:val="Ukotvenpoznmkypodarou"/>
          <w:i w:val="false"/>
          <w:iCs w:val="false"/>
          <w:lang w:val="en-US"/>
        </w:rPr>
        <w:footnoteReference w:id="84"/>
      </w:r>
    </w:p>
    <w:p>
      <w:pPr>
        <w:pStyle w:val="Normal"/>
        <w:rPr>
          <w:rFonts w:ascii="Georgia" w:hAnsi="Georgia"/>
          <w:i w:val="false"/>
          <w:i w:val="false"/>
          <w:iCs w:val="false"/>
          <w:lang w:val="en-US"/>
        </w:rPr>
      </w:pPr>
      <w:r>
        <w:rPr>
          <w:i w:val="false"/>
          <w:iCs w:val="false"/>
          <w:lang w:val="en-US"/>
        </w:rPr>
      </w:r>
    </w:p>
    <w:p>
      <w:pPr>
        <w:pStyle w:val="Normal"/>
        <w:rPr>
          <w:rFonts w:ascii="Georgia" w:hAnsi="Georgia"/>
          <w:i w:val="false"/>
          <w:i w:val="false"/>
          <w:iCs w:val="false"/>
          <w:lang w:val="en-US"/>
        </w:rPr>
      </w:pPr>
      <w:r>
        <w:rPr>
          <w:i w:val="false"/>
          <w:iCs w:val="false"/>
          <w:lang w:val="en-US"/>
        </w:rPr>
      </w:r>
    </w:p>
    <w:p>
      <w:pPr>
        <w:pStyle w:val="Normal"/>
        <w:rPr>
          <w:rFonts w:ascii="Georgia" w:hAnsi="Georgia"/>
          <w:i w:val="false"/>
          <w:i w:val="false"/>
          <w:iCs w:val="false"/>
          <w:lang w:val="en-US"/>
        </w:rPr>
      </w:pPr>
      <w:r>
        <w:rPr>
          <w:i w:val="false"/>
          <w:iCs w:val="false"/>
          <w:lang w:val="en-US"/>
        </w:rPr>
      </w:r>
    </w:p>
    <w:p>
      <w:pPr>
        <w:pStyle w:val="Normal"/>
        <w:rPr>
          <w:rFonts w:ascii="Georgia" w:hAnsi="Georgia"/>
          <w:i w:val="false"/>
          <w:i w:val="false"/>
          <w:iCs w:val="false"/>
          <w:lang w:val="en-US"/>
        </w:rPr>
      </w:pPr>
      <w:r>
        <w:rPr>
          <w:i w:val="false"/>
          <w:iCs w:val="false"/>
          <w:lang w:val="en-US"/>
        </w:rPr>
      </w:r>
    </w:p>
    <w:p>
      <w:pPr>
        <w:pStyle w:val="Normal"/>
        <w:rPr>
          <w:rFonts w:ascii="Georgia" w:hAnsi="Georgia"/>
          <w:i w:val="false"/>
          <w:i w:val="false"/>
          <w:iCs w:val="false"/>
          <w:lang w:val="en-US"/>
        </w:rPr>
      </w:pPr>
      <w:r>
        <w:rPr>
          <w:i w:val="false"/>
          <w:iCs w:val="false"/>
          <w:lang w:val="en-US"/>
        </w:rPr>
      </w:r>
    </w:p>
    <w:p>
      <w:pPr>
        <w:pStyle w:val="Normal"/>
        <w:rPr>
          <w:rFonts w:ascii="Georgia" w:hAnsi="Georgia"/>
          <w:i w:val="false"/>
          <w:i w:val="false"/>
          <w:iCs w:val="false"/>
          <w:lang w:val="en-US"/>
        </w:rPr>
      </w:pPr>
      <w:r>
        <w:rPr>
          <w:i w:val="false"/>
          <w:iCs w:val="false"/>
          <w:lang w:val="en-US"/>
        </w:rPr>
      </w:r>
    </w:p>
    <w:p>
      <w:pPr>
        <w:pStyle w:val="Normal"/>
        <w:rPr>
          <w:rFonts w:ascii="Georgia" w:hAnsi="Georgia"/>
          <w:i w:val="false"/>
          <w:i w:val="false"/>
          <w:iCs w:val="false"/>
          <w:lang w:val="en-US"/>
        </w:rPr>
      </w:pPr>
      <w:r>
        <w:rPr>
          <w:i w:val="false"/>
          <w:iCs w:val="false"/>
          <w:lang w:val="en-US"/>
        </w:rPr>
      </w:r>
    </w:p>
    <w:p>
      <w:pPr>
        <w:pStyle w:val="Normal"/>
        <w:rPr>
          <w:rFonts w:ascii="Georgia" w:hAnsi="Georgia"/>
          <w:i w:val="false"/>
          <w:i w:val="false"/>
          <w:iCs w:val="false"/>
          <w:lang w:val="en-US"/>
        </w:rPr>
      </w:pPr>
      <w:r>
        <w:rPr>
          <w:i w:val="false"/>
          <w:iCs w:val="false"/>
          <w:lang w:val="en-US"/>
        </w:rPr>
      </w:r>
    </w:p>
    <w:p>
      <w:pPr>
        <w:pStyle w:val="Normal"/>
        <w:rPr>
          <w:rFonts w:ascii="Georgia" w:hAnsi="Georgia"/>
          <w:i w:val="false"/>
          <w:i w:val="false"/>
          <w:iCs w:val="false"/>
          <w:lang w:val="en-US"/>
        </w:rPr>
      </w:pPr>
      <w:r>
        <w:rPr>
          <w:i w:val="false"/>
          <w:iCs w:val="false"/>
          <w:lang w:val="en-US"/>
        </w:rPr>
      </w:r>
    </w:p>
    <w:p>
      <w:pPr>
        <w:pStyle w:val="Normal"/>
        <w:rPr>
          <w:rFonts w:ascii="Georgia" w:hAnsi="Georgia"/>
          <w:i w:val="false"/>
          <w:i w:val="false"/>
          <w:iCs w:val="false"/>
          <w:lang w:val="en-US"/>
        </w:rPr>
      </w:pPr>
      <w:r>
        <w:rPr>
          <w:i w:val="false"/>
          <w:iCs w:val="false"/>
          <w:lang w:val="en-US"/>
        </w:rPr>
      </w:r>
    </w:p>
    <w:p>
      <w:pPr>
        <w:pStyle w:val="Normal"/>
        <w:rPr>
          <w:lang w:val="en-US"/>
        </w:rPr>
      </w:pPr>
      <w:r>
        <w:rPr>
          <w:lang w:val="en-US"/>
        </w:rPr>
      </w:r>
    </w:p>
    <w:p>
      <w:pPr>
        <w:pStyle w:val="Normal"/>
        <w:rPr>
          <w:lang w:val="en-US"/>
        </w:rPr>
      </w:pPr>
      <w:r>
        <w:rPr>
          <w:lang w:val="en-US"/>
        </w:rPr>
      </w:r>
      <w:r>
        <w:br w:type="page"/>
      </w:r>
    </w:p>
    <w:p>
      <w:pPr>
        <w:pStyle w:val="Normal"/>
        <w:rPr>
          <w:lang w:val="en-US"/>
        </w:rPr>
      </w:pPr>
      <w:r>
        <w:rPr>
          <w:lang w:val="en-US"/>
        </w:rPr>
        <w:t xml:space="preserve">Č. p. [= T. G. Masaryk]. 1932. “O periodisaci českých dějin”, </w:t>
      </w:r>
      <w:r>
        <w:rPr>
          <w:i/>
          <w:iCs/>
          <w:lang w:val="en-US"/>
        </w:rPr>
        <w:t>Česká mysl</w:t>
      </w:r>
      <w:r>
        <w:rPr>
          <w:i w:val="false"/>
          <w:iCs w:val="false"/>
          <w:lang w:val="en-US"/>
        </w:rPr>
        <w:t xml:space="preserve"> 28, pp. 131-142; also printed as Havelka 1995, pp. 751-761.</w:t>
      </w:r>
    </w:p>
    <w:p>
      <w:pPr>
        <w:pStyle w:val="Normal"/>
        <w:rPr>
          <w:sz w:val="18"/>
          <w:szCs w:val="21"/>
          <w:lang w:val="en-US"/>
        </w:rPr>
      </w:pPr>
      <w:r>
        <w:rPr>
          <w:sz w:val="18"/>
          <w:szCs w:val="21"/>
          <w:lang w:val="en-US"/>
        </w:rPr>
      </w:r>
    </w:p>
    <w:p>
      <w:pPr>
        <w:pStyle w:val="Normal"/>
        <w:rPr>
          <w:lang w:val="en-US"/>
        </w:rPr>
      </w:pPr>
      <w:r>
        <w:rPr>
          <w:lang w:val="en-US"/>
        </w:rPr>
        <w:t xml:space="preserve">Hagedorn, L., Sepp, H. R. (edd.). 1999. </w:t>
      </w:r>
      <w:r>
        <w:rPr>
          <w:i/>
          <w:iCs/>
          <w:lang w:val="en-US"/>
        </w:rPr>
        <w:t>Jan Patočka: Texte – Dokumente – Bibliographie</w:t>
      </w:r>
      <w:r>
        <w:rPr>
          <w:i w:val="false"/>
          <w:iCs w:val="false"/>
          <w:lang w:val="en-US"/>
        </w:rPr>
        <w:t>, Karl Alber, Freiburg/München.</w:t>
      </w:r>
    </w:p>
    <w:p>
      <w:pPr>
        <w:pStyle w:val="Normal"/>
        <w:rPr>
          <w:sz w:val="18"/>
          <w:szCs w:val="21"/>
          <w:lang w:val="en-US"/>
        </w:rPr>
      </w:pPr>
      <w:r>
        <w:rPr>
          <w:sz w:val="18"/>
          <w:szCs w:val="21"/>
          <w:lang w:val="en-US"/>
        </w:rPr>
      </w:r>
    </w:p>
    <w:p>
      <w:pPr>
        <w:pStyle w:val="Normal"/>
        <w:rPr>
          <w:lang w:val="en-US"/>
        </w:rPr>
      </w:pPr>
      <w:r>
        <w:rPr>
          <w:lang w:val="en-US"/>
        </w:rPr>
        <w:t xml:space="preserve">Havelka, M. (ed.). 1995. </w:t>
      </w:r>
      <w:r>
        <w:rPr>
          <w:i/>
          <w:iCs/>
          <w:lang w:val="en-US"/>
        </w:rPr>
        <w:t>Spor o smysl českých dějin 1895-1938</w:t>
      </w:r>
      <w:r>
        <w:rPr>
          <w:i w:val="false"/>
          <w:iCs w:val="false"/>
          <w:lang w:val="en-US"/>
        </w:rPr>
        <w:t>, Torst, Praha.</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Heidegger, M. 1996. </w:t>
      </w:r>
      <w:r>
        <w:rPr>
          <w:i/>
          <w:iCs/>
          <w:lang w:val="en-US"/>
        </w:rPr>
        <w:t xml:space="preserve">Being and Time: A Translation of </w:t>
      </w:r>
      <w:r>
        <w:rPr>
          <w:i w:val="false"/>
          <w:iCs w:val="false"/>
          <w:lang w:val="en-US"/>
        </w:rPr>
        <w:t>Sein und Zeit (tr. J. Stambaugh), SUNY Press, New York.</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Humboldt, W. v. 1917. </w:t>
      </w:r>
      <w:r>
        <w:rPr>
          <w:i/>
          <w:iCs/>
          <w:lang w:val="en-US"/>
        </w:rPr>
        <w:t>Ausgewählten Schriften</w:t>
      </w:r>
      <w:r>
        <w:rPr>
          <w:i w:val="false"/>
          <w:iCs w:val="false"/>
          <w:lang w:val="en-US"/>
        </w:rPr>
        <w:t xml:space="preserve"> (ed. Th. Kappstein), Borngräber, Berlin.</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Kohák, E. 1989. “Jan Patočka: A Philosophical Biography”, in J. Patočka, </w:t>
      </w:r>
      <w:r>
        <w:rPr>
          <w:i/>
          <w:iCs/>
          <w:lang w:val="en-US"/>
        </w:rPr>
        <w:t>Philosophy and Selected Writings</w:t>
      </w:r>
      <w:r>
        <w:rPr>
          <w:i w:val="false"/>
          <w:iCs w:val="false"/>
          <w:lang w:val="en-US"/>
        </w:rPr>
        <w:t xml:space="preserve"> (ed. E. Kohák), The University of Chicago Press, Chicago, pp. 3-135.</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Moural, J. 2002. “Searle‘s Theory of Institutional Facts: A Program of Critical Revision”, in: G. Grewendorf, G. Meggle (edd.), </w:t>
      </w:r>
      <w:r>
        <w:rPr>
          <w:i/>
          <w:iCs/>
          <w:lang w:val="en-US"/>
        </w:rPr>
        <w:t>Speech Acts, Mind, and Social Reality: Discussions with John R. Searle</w:t>
      </w:r>
      <w:r>
        <w:rPr>
          <w:i w:val="false"/>
          <w:iCs w:val="false"/>
          <w:lang w:val="en-US"/>
        </w:rPr>
        <w:t>. Kluwer, Dordrecht, pp. 271-286.</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Moural, J. 2013. “Jan Patočka: A Bystander Turned Dissident”, in: G. Karsai, G. Klaniczay, D. Movrin, E. Olechowska (edd.), </w:t>
      </w:r>
      <w:r>
        <w:rPr>
          <w:i/>
          <w:iCs/>
          <w:lang w:val="en-US"/>
        </w:rPr>
        <w:t>Classics and Communism: Greek and Latin behind the Iron Curtain</w:t>
      </w:r>
      <w:r>
        <w:rPr>
          <w:i w:val="false"/>
          <w:iCs w:val="false"/>
          <w:lang w:val="en-US"/>
        </w:rPr>
        <w:t>, Znanstvena založba Filozofske fakultete/ Collegium Budapest/Artes Liberales, Ljubljana/Budapest/Warsaw, pp. 107-128.</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Novotný, K. 1995. “Dějinnost a svoboda: Heidegger a Patočkova raná filosofie dějin”, </w:t>
      </w:r>
      <w:r>
        <w:rPr>
          <w:i/>
          <w:iCs/>
          <w:lang w:val="en-US"/>
        </w:rPr>
        <w:t>Reflexe</w:t>
      </w:r>
      <w:r>
        <w:rPr>
          <w:i w:val="false"/>
          <w:iCs w:val="false"/>
          <w:lang w:val="en-US"/>
        </w:rPr>
        <w:t xml:space="preserve"> no. 14, pp. 2.1-2.36.</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Patočka, J. 1931. “Pojem evidence a jeho význam pro noetiku” [The Concept of Evidence and its Significance in Epistemology], PhD. dissertation, Charles University, 1931. Printed as Patočka 2008, pp. 13-125.</w:t>
      </w:r>
    </w:p>
    <w:p>
      <w:pPr>
        <w:pStyle w:val="Normal"/>
        <w:rPr>
          <w:rFonts w:ascii="Georgia" w:hAnsi="Georgia"/>
          <w:i w:val="false"/>
          <w:i w:val="false"/>
          <w:iCs w:val="false"/>
          <w:sz w:val="18"/>
          <w:szCs w:val="21"/>
        </w:rPr>
      </w:pPr>
      <w:r>
        <w:rPr>
          <w:i w:val="false"/>
          <w:iCs w:val="false"/>
          <w:sz w:val="18"/>
          <w:szCs w:val="21"/>
        </w:rPr>
      </w:r>
    </w:p>
    <w:p>
      <w:pPr>
        <w:pStyle w:val="Normal"/>
        <w:rPr>
          <w:lang w:val="en-US"/>
        </w:rPr>
      </w:pPr>
      <w:r>
        <w:rPr>
          <w:i w:val="false"/>
          <w:iCs w:val="false"/>
          <w:lang w:val="en-US"/>
        </w:rPr>
        <w:t xml:space="preserve">Patočka, J. 1934. “Několik poznámek k pojmům dějin a dějepisu”, </w:t>
      </w:r>
      <w:r>
        <w:rPr>
          <w:i/>
          <w:iCs/>
          <w:lang w:val="en-US"/>
        </w:rPr>
        <w:t>Řád</w:t>
      </w:r>
      <w:r>
        <w:rPr>
          <w:i w:val="false"/>
          <w:iCs w:val="false"/>
          <w:lang w:val="en-US"/>
        </w:rPr>
        <w:t xml:space="preserve"> 2, pp. 148-156; also printed as Patočka 1996a, pp. 35-45.</w:t>
      </w:r>
    </w:p>
    <w:p>
      <w:pPr>
        <w:pStyle w:val="Normal"/>
        <w:rPr>
          <w:rFonts w:ascii="Georgia" w:hAnsi="Georgia"/>
          <w:i w:val="false"/>
          <w:i w:val="false"/>
          <w:iCs w:val="false"/>
          <w:sz w:val="18"/>
          <w:szCs w:val="21"/>
        </w:rPr>
      </w:pPr>
      <w:r>
        <w:rPr>
          <w:i w:val="false"/>
          <w:iCs w:val="false"/>
          <w:sz w:val="18"/>
          <w:szCs w:val="21"/>
        </w:rPr>
      </w:r>
    </w:p>
    <w:p>
      <w:pPr>
        <w:pStyle w:val="Normal"/>
        <w:rPr>
          <w:lang w:val="en-US"/>
        </w:rPr>
      </w:pPr>
      <w:r>
        <w:rPr>
          <w:i w:val="false"/>
          <w:iCs w:val="false"/>
          <w:lang w:val="en-US"/>
        </w:rPr>
        <w:t xml:space="preserve">Patočka, J. 1935. “Několik poznámek o pojmu světových dějin”, </w:t>
      </w:r>
      <w:r>
        <w:rPr>
          <w:i/>
          <w:iCs/>
          <w:lang w:val="en-US"/>
        </w:rPr>
        <w:t>Česká mysl</w:t>
      </w:r>
      <w:r>
        <w:rPr>
          <w:i w:val="false"/>
          <w:iCs w:val="false"/>
          <w:lang w:val="en-US"/>
        </w:rPr>
        <w:t xml:space="preserve"> 31, pp. 86-96; also printed as Patočka 1996a, pp. 46-57.</w:t>
      </w:r>
    </w:p>
    <w:p>
      <w:pPr>
        <w:pStyle w:val="Normal"/>
        <w:rPr>
          <w:rFonts w:ascii="Georgia" w:hAnsi="Georgia"/>
          <w:i w:val="false"/>
          <w:i w:val="false"/>
          <w:iCs w:val="false"/>
          <w:sz w:val="18"/>
          <w:szCs w:val="21"/>
        </w:rPr>
      </w:pPr>
      <w:r>
        <w:rPr>
          <w:i w:val="false"/>
          <w:iCs w:val="false"/>
          <w:sz w:val="18"/>
          <w:szCs w:val="21"/>
        </w:rPr>
      </w:r>
    </w:p>
    <w:p>
      <w:pPr>
        <w:pStyle w:val="EndnoteSymbol"/>
        <w:bidi w:val="0"/>
        <w:ind w:left="0" w:right="0" w:hanging="0"/>
        <w:jc w:val="left"/>
        <w:rPr>
          <w:lang w:val="en-US"/>
        </w:rPr>
      </w:pPr>
      <w:r>
        <w:rPr>
          <w:i w:val="false"/>
          <w:iCs w:val="false"/>
          <w:lang w:val="en-US"/>
        </w:rPr>
        <w:t xml:space="preserve">Patočka, J. 1936. </w:t>
      </w:r>
      <w:r>
        <w:rPr>
          <w:i/>
          <w:iCs/>
          <w:lang w:val="en-US"/>
        </w:rPr>
        <w:t>Přirozený svět jako filosofický problém,</w:t>
      </w:r>
      <w:r>
        <w:rPr>
          <w:i w:val="false"/>
          <w:iCs w:val="false"/>
          <w:lang w:val="en-US"/>
        </w:rPr>
        <w:t xml:space="preserve"> Ústřední nakladatelství a knihkupectví učitelstva československého, Praha; also printed as Patočka 2008, pp. 127-261.</w:t>
      </w:r>
    </w:p>
    <w:p>
      <w:pPr>
        <w:pStyle w:val="Normal"/>
        <w:rPr>
          <w:rFonts w:ascii="Georgia" w:hAnsi="Georgia"/>
          <w:i w:val="false"/>
          <w:i w:val="false"/>
          <w:iCs w:val="false"/>
          <w:sz w:val="18"/>
          <w:szCs w:val="21"/>
        </w:rPr>
      </w:pPr>
      <w:r>
        <w:rPr>
          <w:i w:val="false"/>
          <w:iCs w:val="false"/>
          <w:sz w:val="18"/>
          <w:szCs w:val="21"/>
        </w:rPr>
      </w:r>
    </w:p>
    <w:p>
      <w:pPr>
        <w:pStyle w:val="Normal"/>
        <w:rPr>
          <w:lang w:val="en-US"/>
        </w:rPr>
      </w:pPr>
      <w:r>
        <w:rPr>
          <w:i w:val="false"/>
          <w:iCs w:val="false"/>
          <w:lang w:val="en-US"/>
        </w:rPr>
        <w:t xml:space="preserve">Patočka, J. 1976. “Erinnerungen an Husserl”, in: W. Biemel (ed.), </w:t>
      </w:r>
      <w:r>
        <w:rPr>
          <w:i/>
          <w:iCs/>
          <w:lang w:val="en-US"/>
        </w:rPr>
        <w:t>Die Welt des Menschen – Die Welt der Philosophie: Festschrift für J. Patočka</w:t>
      </w:r>
      <w:r>
        <w:rPr>
          <w:i w:val="false"/>
          <w:iCs w:val="false"/>
          <w:lang w:val="en-US"/>
        </w:rPr>
        <w:t>, M. Nijhoff, Den Haag, pp. VII-XIX.</w:t>
      </w:r>
    </w:p>
    <w:p>
      <w:pPr>
        <w:pStyle w:val="Normal"/>
        <w:bidi w:val="0"/>
        <w:ind w:left="0" w:right="0" w:hanging="0"/>
        <w:jc w:val="left"/>
        <w:rPr>
          <w:rFonts w:ascii="Georgia" w:hAnsi="Georgia"/>
          <w:i w:val="false"/>
          <w:i w:val="false"/>
          <w:iCs w:val="false"/>
          <w:sz w:val="18"/>
          <w:szCs w:val="21"/>
        </w:rPr>
      </w:pPr>
      <w:r>
        <w:rPr>
          <w:i w:val="false"/>
          <w:iCs w:val="false"/>
          <w:sz w:val="18"/>
          <w:szCs w:val="21"/>
        </w:rPr>
      </w:r>
    </w:p>
    <w:p>
      <w:pPr>
        <w:pStyle w:val="EndnoteSymbol"/>
        <w:bidi w:val="0"/>
        <w:ind w:left="0" w:right="0" w:hanging="0"/>
        <w:jc w:val="left"/>
        <w:rPr>
          <w:lang w:val="en-US"/>
        </w:rPr>
      </w:pPr>
      <w:r>
        <w:rPr>
          <w:i w:val="false"/>
          <w:iCs w:val="false"/>
          <w:lang w:val="en-US"/>
        </w:rPr>
        <w:t xml:space="preserve">Patočka, J. 1990. </w:t>
      </w:r>
      <w:r>
        <w:rPr>
          <w:i/>
          <w:iCs/>
          <w:lang w:val="en-US"/>
        </w:rPr>
        <w:t>Sókratés: Přednášky z antické filosofie</w:t>
      </w:r>
      <w:r>
        <w:rPr>
          <w:i w:val="false"/>
          <w:iCs w:val="false"/>
          <w:lang w:val="en-US"/>
        </w:rPr>
        <w:t>, SPN, Praha.</w:t>
      </w:r>
    </w:p>
    <w:p>
      <w:pPr>
        <w:pStyle w:val="Normal"/>
        <w:rPr>
          <w:rFonts w:ascii="Georgia" w:hAnsi="Georgia"/>
          <w:i w:val="false"/>
          <w:i w:val="false"/>
          <w:iCs w:val="false"/>
          <w:sz w:val="18"/>
          <w:szCs w:val="21"/>
        </w:rPr>
      </w:pPr>
      <w:r>
        <w:rPr>
          <w:i w:val="false"/>
          <w:iCs w:val="false"/>
          <w:sz w:val="18"/>
          <w:szCs w:val="21"/>
        </w:rPr>
      </w:r>
    </w:p>
    <w:p>
      <w:pPr>
        <w:pStyle w:val="Normal"/>
        <w:rPr>
          <w:lang w:val="en-US"/>
        </w:rPr>
      </w:pPr>
      <w:r>
        <w:rPr>
          <w:i w:val="false"/>
          <w:iCs w:val="false"/>
          <w:lang w:val="en-US"/>
        </w:rPr>
        <w:t xml:space="preserve">Patočka, J. 1996a. </w:t>
      </w:r>
      <w:r>
        <w:rPr>
          <w:i/>
          <w:iCs/>
          <w:lang w:val="en-US"/>
        </w:rPr>
        <w:t>Péče o duši I</w:t>
      </w:r>
      <w:r>
        <w:rPr>
          <w:i w:val="false"/>
          <w:iCs w:val="false"/>
          <w:lang w:val="en-US"/>
        </w:rPr>
        <w:t>, Oikoymenh, Praha. (= Collected Works, vol. 1)</w:t>
      </w:r>
    </w:p>
    <w:p>
      <w:pPr>
        <w:pStyle w:val="Normal"/>
        <w:rPr>
          <w:rFonts w:ascii="Georgia" w:hAnsi="Georgia"/>
          <w:i w:val="false"/>
          <w:i w:val="false"/>
          <w:iCs w:val="false"/>
          <w:sz w:val="18"/>
          <w:szCs w:val="21"/>
        </w:rPr>
      </w:pPr>
      <w:r>
        <w:rPr>
          <w:i w:val="false"/>
          <w:iCs w:val="false"/>
          <w:sz w:val="18"/>
          <w:szCs w:val="21"/>
        </w:rPr>
      </w:r>
    </w:p>
    <w:p>
      <w:pPr>
        <w:pStyle w:val="Normal"/>
        <w:rPr>
          <w:lang w:val="en-US"/>
        </w:rPr>
      </w:pPr>
      <w:r>
        <w:rPr>
          <w:i w:val="false"/>
          <w:iCs w:val="false"/>
          <w:lang w:val="en-US"/>
        </w:rPr>
        <w:t xml:space="preserve">Patočka, J. 1996b. </w:t>
      </w:r>
      <w:r>
        <w:rPr>
          <w:i/>
          <w:iCs/>
          <w:lang w:val="en-US"/>
        </w:rPr>
        <w:t>Heretical Essays in the Philosophy of History</w:t>
      </w:r>
      <w:r>
        <w:rPr>
          <w:i w:val="false"/>
          <w:iCs w:val="false"/>
          <w:lang w:val="en-US"/>
        </w:rPr>
        <w:t xml:space="preserve"> (tr. E. Kohák), The Open Court, La Salle, IL.</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Patočka, J. 2006. </w:t>
      </w:r>
      <w:r>
        <w:rPr>
          <w:i/>
          <w:iCs/>
          <w:lang w:val="en-US"/>
        </w:rPr>
        <w:t>Češi I</w:t>
      </w:r>
      <w:r>
        <w:rPr>
          <w:i w:val="false"/>
          <w:iCs w:val="false"/>
          <w:lang w:val="en-US"/>
        </w:rPr>
        <w:t>, Oikoymenh, Praha, (= Collected Works, vol. 12)</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Patočka, J. 2008. </w:t>
      </w:r>
      <w:r>
        <w:rPr>
          <w:i/>
          <w:iCs/>
          <w:lang w:val="en-US"/>
        </w:rPr>
        <w:t>Fenomenologické spisy I</w:t>
      </w:r>
      <w:r>
        <w:rPr>
          <w:i w:val="false"/>
          <w:iCs w:val="false"/>
          <w:lang w:val="en-US"/>
        </w:rPr>
        <w:t>, Oikoymenh, Praha. (= Collected Works, vol. 6)</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Patočka, J. 2009. </w:t>
      </w:r>
      <w:r>
        <w:rPr>
          <w:i/>
          <w:iCs/>
          <w:lang w:val="en-US"/>
        </w:rPr>
        <w:t>Fenomenologické spisy II</w:t>
      </w:r>
      <w:r>
        <w:rPr>
          <w:i w:val="false"/>
          <w:iCs w:val="false"/>
          <w:lang w:val="en-US"/>
        </w:rPr>
        <w:t>, Oikoymenh, Praha. (= Collected Works, vol. 7)</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Patočka, J. 2014. </w:t>
      </w:r>
      <w:r>
        <w:rPr>
          <w:i/>
          <w:iCs/>
          <w:lang w:val="en-US"/>
        </w:rPr>
        <w:t>Fenomenologické spisy III/1</w:t>
      </w:r>
      <w:r>
        <w:rPr>
          <w:i w:val="false"/>
          <w:iCs w:val="false"/>
          <w:lang w:val="en-US"/>
        </w:rPr>
        <w:t>, Oikoymenh, Praha. (= Collected Works, vol. 8/1)</w:t>
      </w:r>
    </w:p>
    <w:p>
      <w:pPr>
        <w:pStyle w:val="Normal"/>
        <w:rPr>
          <w:i w:val="false"/>
          <w:i w:val="false"/>
          <w:iCs w:val="false"/>
          <w:sz w:val="18"/>
          <w:szCs w:val="21"/>
        </w:rPr>
      </w:pPr>
      <w:r>
        <w:rPr>
          <w:i w:val="false"/>
          <w:iCs w:val="false"/>
          <w:sz w:val="18"/>
          <w:szCs w:val="21"/>
        </w:rPr>
      </w:r>
    </w:p>
    <w:p>
      <w:pPr>
        <w:pStyle w:val="Normal"/>
        <w:rPr>
          <w:lang w:val="en-US"/>
        </w:rPr>
      </w:pPr>
      <w:r>
        <w:rPr>
          <w:i w:val="false"/>
          <w:iCs w:val="false"/>
          <w:lang w:val="en-US"/>
        </w:rPr>
        <w:t xml:space="preserve">Pekař, J. 1932. </w:t>
      </w:r>
      <w:r>
        <w:rPr>
          <w:i/>
          <w:iCs/>
          <w:lang w:val="en-US"/>
        </w:rPr>
        <w:t>O periodisaci českých dějin</w:t>
      </w:r>
      <w:r>
        <w:rPr>
          <w:i w:val="false"/>
          <w:iCs w:val="false"/>
          <w:lang w:val="en-US"/>
        </w:rPr>
        <w:t>. Historický klub, Praha.</w:t>
      </w:r>
    </w:p>
    <w:p>
      <w:pPr>
        <w:pStyle w:val="Normal"/>
        <w:rPr>
          <w:i w:val="false"/>
          <w:i w:val="false"/>
          <w:iCs w:val="false"/>
          <w:sz w:val="18"/>
          <w:szCs w:val="21"/>
        </w:rPr>
      </w:pPr>
      <w:r>
        <w:rPr>
          <w:i w:val="false"/>
          <w:iCs w:val="false"/>
          <w:sz w:val="18"/>
          <w:szCs w:val="21"/>
        </w:rPr>
      </w:r>
    </w:p>
    <w:p>
      <w:pPr>
        <w:pStyle w:val="Normal"/>
        <w:rPr/>
      </w:pPr>
      <w:r>
        <w:rPr>
          <w:i w:val="false"/>
          <w:iCs w:val="false"/>
          <w:lang w:val="en-US"/>
        </w:rPr>
        <w:t xml:space="preserve">Zumr, J., Patočka, J. 1967. “O filosofovi a filosofech”, </w:t>
      </w:r>
      <w:r>
        <w:rPr>
          <w:i/>
          <w:iCs/>
          <w:lang w:val="en-US"/>
        </w:rPr>
        <w:t>Filosofický časopis</w:t>
      </w:r>
      <w:r>
        <w:rPr>
          <w:i w:val="false"/>
          <w:iCs w:val="false"/>
          <w:lang w:val="en-US"/>
        </w:rPr>
        <w:t xml:space="preserve"> 15, pp. 585-598.</w:t>
      </w:r>
    </w:p>
    <w:sectPr>
      <w:footnotePr>
        <w:numFmt w:val="decimal"/>
      </w:footnotePr>
      <w:type w:val="nextPage"/>
      <w:pgSz w:w="11906" w:h="16838"/>
      <w:pgMar w:left="1134" w:right="1134" w:header="0" w:top="1134" w:footer="0" w:bottom="1134" w:gutter="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Georgia">
    <w:charset w:val="01"/>
    <w:family w:val="roman"/>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EndnoteSymbol"/>
        <w:rPr/>
      </w:pPr>
      <w:r>
        <w:rPr>
          <w:rStyle w:val="Znakypropoznmkupodarou"/>
        </w:rPr>
        <w:footnoteRef/>
      </w:r>
      <w:r>
        <w:rPr/>
        <w:tab/>
        <w:t xml:space="preserve">  But see Novotný 1995 on Patočka 1934.</w:t>
      </w:r>
    </w:p>
  </w:footnote>
  <w:footnote w:id="3">
    <w:p>
      <w:pPr>
        <w:pStyle w:val="EndnoteSymbol"/>
        <w:jc w:val="left"/>
        <w:rPr/>
      </w:pPr>
      <w:r>
        <w:rPr>
          <w:rStyle w:val="Znakypropoznmkupodarou"/>
        </w:rPr>
        <w:footnoteRef/>
      </w:r>
      <w:r>
        <w:rPr/>
        <w:tab/>
        <w:t xml:space="preserve">  Patočka 1931, printed in </w:t>
      </w:r>
      <w:r>
        <w:rPr>
          <w:i w:val="false"/>
          <w:iCs w:val="false"/>
        </w:rPr>
        <w:t>Patočka 2008, pp. 13-125. Some Patočka’s texts are available in translations. Where an English translation exists, I refer to it (otherwise, translations are mine). – Concerning translations of the texts from which I quote into other languages, the reader can consult the on-line bibliography on the web page of the Jan Patočka Archives in Prague that provides for each entry an updated survey of existing translations (http://ajp.cuni.cz/index.php/Bibliografie).</w:t>
      </w:r>
    </w:p>
  </w:footnote>
  <w:footnote w:id="4">
    <w:p>
      <w:pPr>
        <w:pStyle w:val="EndnoteSymbol"/>
        <w:rPr/>
      </w:pPr>
      <w:r>
        <w:rPr>
          <w:rStyle w:val="Znakypropoznmkupodarou"/>
        </w:rPr>
        <w:footnoteRef/>
      </w:r>
      <w:r>
        <w:rPr>
          <w:lang w:val="en-US"/>
        </w:rPr>
        <w:tab/>
        <w:t xml:space="preserve">  Jacob Klein (1899-1978), a philosopher and classical scholar of Latvian-Jewish origin who studied in Germany; in Marburg he was among the postdocs closely observing the rising philosophical star of Martin Heidegger (with Gademer, Löwith and especially with his lifelong friend Leo Strauss). Since 1937, he taught at St. John’s College (Annapolis).</w:t>
      </w:r>
    </w:p>
  </w:footnote>
  <w:footnote w:id="5">
    <w:p>
      <w:pPr>
        <w:pStyle w:val="EndnoteSymbol"/>
        <w:rPr/>
      </w:pPr>
      <w:r>
        <w:rPr>
          <w:rStyle w:val="Znakypropoznmkupodarou"/>
        </w:rPr>
        <w:footnoteRef/>
      </w:r>
      <w:r>
        <w:rPr/>
        <w:tab/>
        <w:t xml:space="preserve">  Patočka 2006, p. 614. In fact, Patočka’s original plan was to spend a semester in Berlin and a semester in Leipzig. He proposed to change the location of his second Humboldt semester when in Berlin (see Patočka 2008, p. 435), probably under the influence of Klein.</w:t>
      </w:r>
    </w:p>
  </w:footnote>
  <w:footnote w:id="6">
    <w:p>
      <w:pPr>
        <w:pStyle w:val="EndnoteSymbol"/>
        <w:rPr/>
      </w:pPr>
      <w:r>
        <w:rPr>
          <w:rStyle w:val="Znakypropoznmkupodarou"/>
        </w:rPr>
        <w:footnoteRef/>
      </w:r>
      <w:r>
        <w:rPr/>
        <w:tab/>
        <w:t xml:space="preserve">  Zumr, Patočka 1967; printed also as Patočka 2006, pp. 607-629. Another, largely overlapping memoir piece is Patočka 1976; translated into Czech as Patočka 2006, pp. 630-641.</w:t>
      </w:r>
    </w:p>
  </w:footnote>
  <w:footnote w:id="7">
    <w:p>
      <w:pPr>
        <w:pStyle w:val="EndnoteSymbol"/>
        <w:rPr/>
      </w:pPr>
      <w:r>
        <w:rPr>
          <w:rStyle w:val="Znakypropoznmkupodarou"/>
        </w:rPr>
        <w:footnoteRef/>
      </w:r>
      <w:r>
        <w:rPr>
          <w:i w:val="false"/>
          <w:iCs w:val="false"/>
          <w:lang w:val="en-US"/>
        </w:rPr>
        <w:tab/>
        <w:t xml:space="preserve">  Zumr, Patočka 1967, p. 589; Patočka 2006, pp. 614-615.</w:t>
      </w:r>
    </w:p>
  </w:footnote>
  <w:footnote w:id="8">
    <w:p>
      <w:pPr>
        <w:pStyle w:val="EndnoteSymbol"/>
        <w:rPr/>
      </w:pPr>
      <w:r>
        <w:rPr>
          <w:rStyle w:val="Znakypropoznmkupodarou"/>
        </w:rPr>
        <w:footnoteRef/>
      </w:r>
      <w:r>
        <w:rPr/>
        <w:tab/>
        <w:t xml:space="preserve">  See e.g. Husserl’s letter to President Masaryk’s secretary dr. Vasil K. Škrach of December 4, 1934 (printed in original German in Patočka 2008, pp. 458-459).</w:t>
      </w:r>
    </w:p>
  </w:footnote>
  <w:footnote w:id="9">
    <w:p>
      <w:pPr>
        <w:pStyle w:val="EndnoteSymbol"/>
        <w:rPr/>
      </w:pPr>
      <w:r>
        <w:rPr>
          <w:rStyle w:val="Znakypropoznmkupodarou"/>
        </w:rPr>
        <w:footnoteRef/>
      </w:r>
      <w:r>
        <w:rPr/>
        <w:tab/>
        <w:t xml:space="preserve">  For example, in a manuscript written in Czech probably in the 1940’s, he quotes Heidegger (in German), without reference as nearly always: now we can identify the quotation as coming from Heidegger’s lectures in WS 1929/30, published for the first time in 1983, six years after Patočka’s death (as volume 29/30 of the </w:t>
      </w:r>
      <w:r>
        <w:rPr>
          <w:i/>
          <w:iCs/>
        </w:rPr>
        <w:t>Gesamtausgabe</w:t>
      </w:r>
      <w:r>
        <w:rPr>
          <w:i w:val="false"/>
          <w:iCs w:val="false"/>
        </w:rPr>
        <w:t>) – see Patočka 2014, p. 101. Other such quotations or paraphrases remain unidentified so far (cf. note 50 below).</w:t>
      </w:r>
    </w:p>
  </w:footnote>
  <w:footnote w:id="10">
    <w:p>
      <w:pPr>
        <w:pStyle w:val="EndnoteSymbol"/>
        <w:rPr/>
      </w:pPr>
      <w:r>
        <w:rPr>
          <w:rStyle w:val="Znakypropoznmkupodarou"/>
        </w:rPr>
        <w:footnoteRef/>
      </w:r>
      <w:r>
        <w:rPr>
          <w:i w:val="false"/>
          <w:iCs w:val="false"/>
        </w:rPr>
        <w:tab/>
        <w:t xml:space="preserve">  Zumr, Patočka 1967, p. 589; Patočka 2006, p. 614.</w:t>
      </w:r>
    </w:p>
  </w:footnote>
  <w:footnote w:id="11">
    <w:p>
      <w:pPr>
        <w:pStyle w:val="EndnoteSymbol"/>
        <w:rPr/>
      </w:pPr>
      <w:r>
        <w:rPr>
          <w:rStyle w:val="Znakypropoznmkupodarou"/>
        </w:rPr>
        <w:footnoteRef/>
      </w:r>
      <w:r>
        <w:rPr>
          <w:i w:val="false"/>
          <w:iCs w:val="false"/>
        </w:rPr>
        <w:tab/>
        <w:t xml:space="preserve">  Zumr, Patočka 1967, p. 589; Patočka 2006, p. 615. Patočka himself was to suffer his share of ideological persecution, and it seems he was influenced by Brock in shaping his own manners under similar circumstances.</w:t>
      </w:r>
    </w:p>
  </w:footnote>
  <w:footnote w:id="12">
    <w:p>
      <w:pPr>
        <w:pStyle w:val="EndnoteSymbol"/>
        <w:rPr/>
      </w:pPr>
      <w:r>
        <w:rPr>
          <w:rStyle w:val="Znakypropoznmkupodarou"/>
        </w:rPr>
        <w:footnoteRef/>
      </w:r>
      <w:r>
        <w:rPr/>
        <w:tab/>
        <w:t xml:space="preserve">  Patočka </w:t>
      </w:r>
      <w:r>
        <w:rPr>
          <w:i w:val="false"/>
          <w:iCs w:val="false"/>
        </w:rPr>
        <w:t>1936; also Patočka 2008, pp. 127-261.</w:t>
      </w:r>
    </w:p>
  </w:footnote>
  <w:footnote w:id="13">
    <w:p>
      <w:pPr>
        <w:pStyle w:val="EndnoteSymbol"/>
        <w:rPr/>
      </w:pPr>
      <w:r>
        <w:rPr>
          <w:rStyle w:val="Znakypropoznmkupodarou"/>
        </w:rPr>
        <w:footnoteRef/>
      </w:r>
      <w:r>
        <w:rPr/>
        <w:tab/>
        <w:t xml:space="preserve">  On the Prague Circle, see Hagedorn, Sepp 1999, pp.</w:t>
      </w:r>
      <w:r>
        <w:rPr>
          <w:i w:val="false"/>
          <w:iCs w:val="false"/>
        </w:rPr>
        <w:t xml:space="preserve"> 188-205. On Husserl’s lectures in Prague, the Prague contribution to the preservation of Husserl’s manuscripts and related correspondence, see Hagedorn, Sepp 1999</w:t>
      </w:r>
      <w:r>
        <w:rPr>
          <w:i/>
          <w:iCs/>
        </w:rPr>
        <w:t>,</w:t>
      </w:r>
      <w:r>
        <w:rPr>
          <w:i w:val="false"/>
          <w:iCs w:val="false"/>
        </w:rPr>
        <w:t xml:space="preserve"> pp. 206-251.</w:t>
      </w:r>
    </w:p>
  </w:footnote>
  <w:footnote w:id="14">
    <w:p>
      <w:pPr>
        <w:pStyle w:val="EndnoteSymbol"/>
        <w:rPr/>
      </w:pPr>
      <w:r>
        <w:rPr>
          <w:rStyle w:val="Znakypropoznmkupodarou"/>
        </w:rPr>
        <w:footnoteRef/>
      </w:r>
      <w:r>
        <w:rPr/>
        <w:tab/>
        <w:t xml:space="preserve">  Patočka 2006, p. 637.</w:t>
      </w:r>
    </w:p>
  </w:footnote>
  <w:footnote w:id="15">
    <w:p>
      <w:pPr>
        <w:pStyle w:val="EndnoteSymbol"/>
        <w:rPr/>
      </w:pPr>
      <w:r>
        <w:rPr>
          <w:rStyle w:val="Znakypropoznmkupodarou"/>
        </w:rPr>
        <w:footnoteRef/>
      </w:r>
      <w:r>
        <w:rPr>
          <w:i w:val="false"/>
          <w:iCs w:val="false"/>
        </w:rPr>
        <w:tab/>
        <w:t xml:space="preserve">  Originally Patočka 1934; quoted from Patočka 1996a, pp. 35-45.</w:t>
      </w:r>
    </w:p>
  </w:footnote>
  <w:footnote w:id="16">
    <w:p>
      <w:pPr>
        <w:pStyle w:val="EndnoteSymbol"/>
        <w:rPr/>
      </w:pPr>
      <w:r>
        <w:rPr>
          <w:rStyle w:val="Znakypropoznmkupodarou"/>
        </w:rPr>
        <w:footnoteRef/>
      </w:r>
      <w:r>
        <w:rPr>
          <w:i w:val="false"/>
          <w:iCs w:val="false"/>
        </w:rPr>
        <w:tab/>
        <w:t xml:space="preserve">  Originally Patočka 1935; quoted from Patočka 1996a, pp. 46-57.</w:t>
      </w:r>
    </w:p>
  </w:footnote>
  <w:footnote w:id="17">
    <w:p>
      <w:pPr>
        <w:pStyle w:val="EndnoteSymbol"/>
        <w:rPr/>
      </w:pPr>
      <w:r>
        <w:rPr>
          <w:rStyle w:val="Znakypropoznmkupodarou"/>
        </w:rPr>
        <w:footnoteRef/>
      </w:r>
      <w:r>
        <w:rPr/>
        <w:tab/>
        <w:t xml:space="preserve">  Zumr, Patočka 1967, p. 590; Patočka 2006, p. 615.</w:t>
      </w:r>
    </w:p>
  </w:footnote>
  <w:footnote w:id="18">
    <w:p>
      <w:pPr>
        <w:pStyle w:val="EndnoteSymbol"/>
        <w:rPr/>
      </w:pPr>
      <w:r>
        <w:rPr>
          <w:rStyle w:val="Znakypropoznmkupodarou"/>
        </w:rPr>
        <w:footnoteRef/>
      </w:r>
      <w:r>
        <w:rPr/>
        <w:tab/>
        <w:t xml:space="preserve">  The merits of the Prague Linguistic Circle are widely recognized. Czech historiography, while less well known internationally (largely because Czech historians published nearly exclusively in Czech in those days), was also very good at the time.</w:t>
      </w:r>
    </w:p>
  </w:footnote>
  <w:footnote w:id="19">
    <w:p>
      <w:pPr>
        <w:pStyle w:val="EndnoteSymbol"/>
        <w:rPr/>
      </w:pPr>
      <w:r>
        <w:rPr>
          <w:rStyle w:val="Znakypropoznmkupodarou"/>
        </w:rPr>
        <w:footnoteRef/>
      </w:r>
      <w:r>
        <w:rPr/>
        <w:tab/>
        <w:t xml:space="preserve">  Josef Pekař (1870-1937), Czech historian at Charles University, professor since 1901, Rector 1931-32.</w:t>
      </w:r>
    </w:p>
  </w:footnote>
  <w:footnote w:id="20">
    <w:p>
      <w:pPr>
        <w:pStyle w:val="EndnoteSymbol"/>
        <w:rPr/>
      </w:pPr>
      <w:r>
        <w:rPr>
          <w:rStyle w:val="Znakypropoznmkupodarou"/>
        </w:rPr>
        <w:footnoteRef/>
      </w:r>
      <w:r>
        <w:rPr/>
        <w:tab/>
        <w:t xml:space="preserve">  Pekař 1932, 7-8 (also Havelka 1995, 733).</w:t>
      </w:r>
    </w:p>
  </w:footnote>
  <w:footnote w:id="21">
    <w:p>
      <w:pPr>
        <w:pStyle w:val="EndnoteSymbol"/>
        <w:rPr/>
      </w:pPr>
      <w:r>
        <w:rPr>
          <w:rStyle w:val="Znakypropoznmkupodarou"/>
        </w:rPr>
        <w:footnoteRef/>
      </w:r>
      <w:r>
        <w:rPr/>
        <w:tab/>
        <w:t xml:space="preserve">  The polemics did not deal with the Husserlian and Heideggerian topics (or only very marginally), and it was the last round of a long debate in which Masaryk and Pekař had emerged as the main antagonists (a good anthology of the original texts is Havelka 1995).</w:t>
      </w:r>
    </w:p>
  </w:footnote>
  <w:footnote w:id="22">
    <w:p>
      <w:pPr>
        <w:pStyle w:val="EndnoteSymbol"/>
        <w:rPr/>
      </w:pPr>
      <w:r>
        <w:rPr>
          <w:rStyle w:val="Znakypropoznmkupodarou"/>
        </w:rPr>
        <w:footnoteRef/>
      </w:r>
      <w:r>
        <w:rPr/>
        <w:tab/>
        <w:t xml:space="preserve">  Č. p. 1932 (also Havelka 1995, 751-761). “Č. p.” was a – not very concealing – pseudonym used by Masaryk when he wanted to enter professional debate without being sheltered by the authority of his office.</w:t>
      </w:r>
    </w:p>
  </w:footnote>
  <w:footnote w:id="23">
    <w:p>
      <w:pPr>
        <w:pStyle w:val="EndnoteSymbol"/>
        <w:rPr/>
      </w:pPr>
      <w:r>
        <w:rPr>
          <w:rStyle w:val="Znakypropoznmkupodarou"/>
        </w:rPr>
        <w:footnoteRef/>
      </w:r>
      <w:r>
        <w:rPr/>
        <w:tab/>
        <w:t xml:space="preserve">  Patočka 2008, pp. 475-476.</w:t>
      </w:r>
    </w:p>
  </w:footnote>
  <w:footnote w:id="24">
    <w:p>
      <w:pPr>
        <w:pStyle w:val="EndnoteSymbol"/>
        <w:rPr/>
      </w:pPr>
      <w:r>
        <w:rPr>
          <w:rStyle w:val="Znakypropoznmkupodarou"/>
        </w:rPr>
        <w:footnoteRef/>
      </w:r>
      <w:r>
        <w:rPr/>
        <w:tab/>
        <w:t xml:space="preserve">  Like German, the Czech language has two very common words, “historie” a “dějiny”, where English has only “history”. Etymologically, “dějiny” is identical with “Geschichte” (‘that what was happening’), and Patočka distinguishes between the two with a clear tendency but not entirely consistently: history is what remains of the past happenings (and what historiography attempts to describe), while Geschichte/dějiny is the real thing (which, at the moment when it is happening, still has all the future possibilities open and the participants strive to influence it this or that way). Where necessary, I shall mark the difference by using “G-history” for “Geschichte/dějiny” and “H-history” for “Historie/historie”. As Heidegger puts it, H-history cares for the past and G-history for the future.</w:t>
      </w:r>
    </w:p>
  </w:footnote>
  <w:footnote w:id="25">
    <w:p>
      <w:pPr>
        <w:pStyle w:val="EndnoteSymbol"/>
        <w:rPr/>
      </w:pPr>
      <w:r>
        <w:rPr>
          <w:rStyle w:val="Znakypropoznmkupodarou"/>
        </w:rPr>
        <w:footnoteRef/>
      </w:r>
      <w:r>
        <w:rPr/>
        <w:tab/>
        <w:t xml:space="preserve">  Patočka 1996a, p. 46.</w:t>
      </w:r>
    </w:p>
  </w:footnote>
  <w:footnote w:id="26">
    <w:p>
      <w:pPr>
        <w:pStyle w:val="EndnoteSymbol"/>
        <w:rPr/>
      </w:pPr>
      <w:r>
        <w:rPr>
          <w:rStyle w:val="Znakypropoznmkupodarou"/>
        </w:rPr>
        <w:footnoteRef/>
      </w:r>
      <w:r>
        <w:rPr/>
        <w:tab/>
        <w:t xml:space="preserve">  Patočka 1996a, p. 47.</w:t>
      </w:r>
    </w:p>
  </w:footnote>
  <w:footnote w:id="27">
    <w:p>
      <w:pPr>
        <w:pStyle w:val="EndnoteSymbol"/>
        <w:rPr/>
      </w:pPr>
      <w:r>
        <w:rPr>
          <w:rStyle w:val="Znakypropoznmkupodarou"/>
        </w:rPr>
        <w:footnoteRef/>
      </w:r>
      <w:r>
        <w:rPr>
          <w:i w:val="false"/>
          <w:iCs w:val="false"/>
        </w:rPr>
        <w:tab/>
        <w:t xml:space="preserve">  Patočka 1996a, p. 48.</w:t>
      </w:r>
    </w:p>
  </w:footnote>
  <w:footnote w:id="28">
    <w:p>
      <w:pPr>
        <w:pStyle w:val="EndnoteSymbol"/>
        <w:rPr/>
      </w:pPr>
      <w:r>
        <w:rPr>
          <w:rStyle w:val="Znakypropoznmkupodarou"/>
        </w:rPr>
        <w:footnoteRef/>
      </w:r>
      <w:r>
        <w:rPr/>
        <w:tab/>
        <w:t xml:space="preserve">  Patočka 1996a, pp. 48-50. By 1935, there were three Bergson books translated into Czech, and Patočka’s friend Václav Černý was working on a fourth one. In general, France was the primary orientation point of the between-the-wars Czechoslovakia, culturally and diplomatically (and much more students would take French than English at school).</w:t>
      </w:r>
    </w:p>
  </w:footnote>
  <w:footnote w:id="29">
    <w:p>
      <w:pPr>
        <w:pStyle w:val="EndnoteSymbol"/>
        <w:rPr/>
      </w:pPr>
      <w:r>
        <w:rPr>
          <w:rStyle w:val="Znakypropoznmkupodarou"/>
        </w:rPr>
        <w:footnoteRef/>
      </w:r>
      <w:r>
        <w:rPr/>
        <w:tab/>
        <w:t xml:space="preserve">  Patočka 1996a, p. 51.</w:t>
      </w:r>
    </w:p>
  </w:footnote>
  <w:footnote w:id="30">
    <w:p>
      <w:pPr>
        <w:pStyle w:val="EndnoteSymbol"/>
        <w:rPr/>
      </w:pPr>
      <w:r>
        <w:rPr>
          <w:rStyle w:val="Znakypropoznmkupodarou"/>
        </w:rPr>
        <w:footnoteRef/>
      </w:r>
      <w:r>
        <w:rPr/>
        <w:tab/>
        <w:t xml:space="preserve">  Patočka 1996a, p. 52.</w:t>
      </w:r>
    </w:p>
  </w:footnote>
  <w:footnote w:id="31">
    <w:p>
      <w:pPr>
        <w:pStyle w:val="EndnoteSymbol"/>
        <w:rPr/>
      </w:pPr>
      <w:r>
        <w:rPr>
          <w:rStyle w:val="Znakypropoznmkupodarou"/>
        </w:rPr>
        <w:footnoteRef/>
      </w:r>
      <w:r>
        <w:rPr/>
        <w:tab/>
        <w:t xml:space="preserve">  Patočka 1996a, p. 53.</w:t>
      </w:r>
    </w:p>
  </w:footnote>
  <w:footnote w:id="32">
    <w:p>
      <w:pPr>
        <w:pStyle w:val="EndnoteSymbol"/>
        <w:rPr/>
      </w:pPr>
      <w:r>
        <w:rPr>
          <w:rStyle w:val="Znakypropoznmkupodarou"/>
        </w:rPr>
        <w:footnoteRef/>
      </w:r>
      <w:r>
        <w:rPr/>
        <w:tab/>
        <w:t xml:space="preserve">  Patočka 1996a, p. 53.</w:t>
      </w:r>
    </w:p>
  </w:footnote>
  <w:footnote w:id="33">
    <w:p>
      <w:pPr>
        <w:pStyle w:val="EndnoteSymbol"/>
        <w:rPr/>
      </w:pPr>
      <w:r>
        <w:rPr>
          <w:rStyle w:val="Znakypropoznmkupodarou"/>
        </w:rPr>
        <w:footnoteRef/>
      </w:r>
      <w:r>
        <w:rPr/>
        <w:tab/>
        <w:t xml:space="preserve">  Patočka 1996a, p. 52.</w:t>
      </w:r>
    </w:p>
  </w:footnote>
  <w:footnote w:id="34">
    <w:p>
      <w:pPr>
        <w:pStyle w:val="EndnoteSymbol"/>
        <w:rPr/>
      </w:pPr>
      <w:r>
        <w:rPr>
          <w:rStyle w:val="Znakypropoznmkupodarou"/>
        </w:rPr>
        <w:footnoteRef/>
      </w:r>
      <w:r>
        <w:rPr/>
        <w:tab/>
        <w:t xml:space="preserve">  Patočka 1996a, p. 55.</w:t>
      </w:r>
    </w:p>
  </w:footnote>
  <w:footnote w:id="35">
    <w:p>
      <w:pPr>
        <w:pStyle w:val="EndnoteSymbol"/>
        <w:rPr/>
      </w:pPr>
      <w:r>
        <w:rPr>
          <w:rStyle w:val="Znakypropoznmkupodarou"/>
        </w:rPr>
        <w:footnoteRef/>
      </w:r>
      <w:r>
        <w:rPr/>
        <w:tab/>
        <w:t xml:space="preserve">  Humboldt 1917, p. 23 (quoted in Patočka 1996a, p. 38).</w:t>
      </w:r>
    </w:p>
  </w:footnote>
  <w:footnote w:id="36">
    <w:p>
      <w:pPr>
        <w:pStyle w:val="EndnoteSymbol"/>
        <w:rPr/>
      </w:pPr>
      <w:r>
        <w:rPr>
          <w:rStyle w:val="Znakypropoznmkupodarou"/>
        </w:rPr>
        <w:footnoteRef/>
      </w:r>
      <w:r>
        <w:rPr/>
        <w:tab/>
        <w:t xml:space="preserve">  On what kind of philosophy of institutions would be needed, see e.g. Moural 2002.</w:t>
      </w:r>
    </w:p>
  </w:footnote>
  <w:footnote w:id="37">
    <w:p>
      <w:pPr>
        <w:pStyle w:val="EndnoteSymbol"/>
        <w:rPr/>
      </w:pPr>
      <w:r>
        <w:rPr>
          <w:rStyle w:val="Znakypropoznmkupodarou"/>
        </w:rPr>
        <w:footnoteRef/>
      </w:r>
      <w:r>
        <w:rPr/>
        <w:tab/>
        <w:t xml:space="preserve">  Patočka 1996a, p. 48.</w:t>
      </w:r>
    </w:p>
  </w:footnote>
  <w:footnote w:id="38">
    <w:p>
      <w:pPr>
        <w:pStyle w:val="EndnoteSymbol"/>
        <w:rPr/>
      </w:pPr>
      <w:r>
        <w:rPr>
          <w:rStyle w:val="Znakypropoznmkupodarou"/>
        </w:rPr>
        <w:footnoteRef/>
      </w:r>
      <w:r>
        <w:rPr/>
        <w:tab/>
        <w:t xml:space="preserve">  Patočka 1996a, p. 49.</w:t>
      </w:r>
    </w:p>
  </w:footnote>
  <w:footnote w:id="39">
    <w:p>
      <w:pPr>
        <w:pStyle w:val="EndnoteSymbol"/>
        <w:rPr/>
      </w:pPr>
      <w:r>
        <w:rPr>
          <w:rStyle w:val="Znakypropoznmkupodarou"/>
        </w:rPr>
        <w:footnoteRef/>
      </w:r>
      <w:r>
        <w:rPr/>
        <w:tab/>
        <w:t xml:space="preserve">  Patočka 1996a, pp. 49-50.</w:t>
      </w:r>
    </w:p>
  </w:footnote>
  <w:footnote w:id="40">
    <w:p>
      <w:pPr>
        <w:pStyle w:val="EndnoteSymbol"/>
        <w:rPr/>
      </w:pPr>
      <w:r>
        <w:rPr>
          <w:rStyle w:val="Znakypropoznmkupodarou"/>
        </w:rPr>
        <w:footnoteRef/>
      </w:r>
      <w:r>
        <w:rPr/>
        <w:tab/>
        <w:t xml:space="preserve">  Patočka 1996a, p. 43-44.</w:t>
      </w:r>
    </w:p>
  </w:footnote>
  <w:footnote w:id="41">
    <w:p>
      <w:pPr>
        <w:pStyle w:val="EndnoteSymbol"/>
        <w:rPr/>
      </w:pPr>
      <w:r>
        <w:rPr>
          <w:rStyle w:val="Znakypropoznmkupodarou"/>
        </w:rPr>
        <w:footnoteRef/>
      </w:r>
      <w:r>
        <w:rPr/>
        <w:tab/>
        <w:t xml:space="preserve">  Patočka 1996a, p. 44.</w:t>
      </w:r>
    </w:p>
  </w:footnote>
  <w:footnote w:id="42">
    <w:p>
      <w:pPr>
        <w:pStyle w:val="EndnoteSymbol"/>
        <w:rPr/>
      </w:pPr>
      <w:r>
        <w:rPr>
          <w:rStyle w:val="Znakypropoznmkupodarou"/>
        </w:rPr>
        <w:footnoteRef/>
      </w:r>
      <w:r>
        <w:rPr/>
        <w:tab/>
        <w:t xml:space="preserve">  Patočka 1996a, p. 44.</w:t>
      </w:r>
    </w:p>
  </w:footnote>
  <w:footnote w:id="43">
    <w:p>
      <w:pPr>
        <w:pStyle w:val="EndnoteSymbol"/>
        <w:rPr/>
      </w:pPr>
      <w:r>
        <w:rPr>
          <w:rStyle w:val="Znakypropoznmkupodarou"/>
        </w:rPr>
        <w:footnoteRef/>
      </w:r>
      <w:r>
        <w:rPr/>
        <w:tab/>
        <w:t xml:space="preserve">  Patočka 1996a, p. 44.</w:t>
      </w:r>
    </w:p>
  </w:footnote>
  <w:footnote w:id="44">
    <w:p>
      <w:pPr>
        <w:pStyle w:val="EndnoteSymbol"/>
        <w:rPr/>
      </w:pPr>
      <w:r>
        <w:rPr>
          <w:rStyle w:val="Znakypropoznmkupodarou"/>
        </w:rPr>
        <w:footnoteRef/>
      </w:r>
      <w:r>
        <w:rPr/>
        <w:tab/>
        <w:t xml:space="preserve">  Patočka 1996a, pp. 44-45.</w:t>
      </w:r>
    </w:p>
  </w:footnote>
  <w:footnote w:id="45">
    <w:p>
      <w:pPr>
        <w:pStyle w:val="EndnoteSymbol"/>
        <w:rPr/>
      </w:pPr>
      <w:r>
        <w:rPr>
          <w:rStyle w:val="Znakypropoznmkupodarou"/>
        </w:rPr>
        <w:footnoteRef/>
      </w:r>
      <w:r>
        <w:rPr/>
        <w:tab/>
        <w:t xml:space="preserve">  Novotný 1995 pays attention to the Bergsonian line.</w:t>
      </w:r>
    </w:p>
  </w:footnote>
  <w:footnote w:id="46">
    <w:p>
      <w:pPr>
        <w:pStyle w:val="EndnoteSymbol"/>
        <w:rPr/>
      </w:pPr>
      <w:r>
        <w:rPr>
          <w:rStyle w:val="Znakypropoznmkupodarou"/>
        </w:rPr>
        <w:footnoteRef/>
      </w:r>
      <w:r>
        <w:rPr/>
        <w:tab/>
        <w:t xml:space="preserve">  Patočka 1996a, p. 35.</w:t>
      </w:r>
    </w:p>
  </w:footnote>
  <w:footnote w:id="47">
    <w:p>
      <w:pPr>
        <w:pStyle w:val="EndnoteSymbol"/>
        <w:rPr/>
      </w:pPr>
      <w:r>
        <w:rPr>
          <w:rStyle w:val="Znakypropoznmkupodarou"/>
        </w:rPr>
        <w:footnoteRef/>
      </w:r>
      <w:r>
        <w:rPr/>
        <w:tab/>
        <w:t xml:space="preserve">  Heidegger 1996a, p. 344 (see also p. 358-359).</w:t>
      </w:r>
    </w:p>
  </w:footnote>
  <w:footnote w:id="48">
    <w:p>
      <w:pPr>
        <w:pStyle w:val="EndnoteSymbol"/>
        <w:rPr/>
      </w:pPr>
      <w:r>
        <w:rPr>
          <w:rStyle w:val="Znakypropoznmkupodarou"/>
        </w:rPr>
        <w:footnoteRef/>
      </w:r>
      <w:r>
        <w:rPr/>
        <w:tab/>
        <w:t xml:space="preserve">  Patočka 1996a, pp. 40-41. Somewhat later, Patočka notices that Sartre’s </w:t>
      </w:r>
      <w:r>
        <w:rPr>
          <w:i/>
          <w:iCs/>
        </w:rPr>
        <w:t>The Emotions</w:t>
      </w:r>
      <w:r>
        <w:rPr>
          <w:i w:val="false"/>
          <w:iCs w:val="false"/>
        </w:rPr>
        <w:t>, while indebted to Heidegger, nonetheless are faithful to Husserl’s method of reflective analysis (Patočka 2008, p. 427).</w:t>
      </w:r>
    </w:p>
  </w:footnote>
  <w:footnote w:id="49">
    <w:p>
      <w:pPr>
        <w:pStyle w:val="EndnoteSymbol"/>
        <w:rPr/>
      </w:pPr>
      <w:r>
        <w:rPr>
          <w:rStyle w:val="Znakypropoznmkupodarou"/>
        </w:rPr>
        <w:footnoteRef/>
      </w:r>
      <w:r>
        <w:rPr/>
        <w:tab/>
        <w:t xml:space="preserve">  Patočka 1996a, p. 40.</w:t>
      </w:r>
    </w:p>
  </w:footnote>
  <w:footnote w:id="50">
    <w:p>
      <w:pPr>
        <w:pStyle w:val="EndnoteSymbol"/>
        <w:rPr/>
      </w:pPr>
      <w:r>
        <w:rPr>
          <w:rStyle w:val="Znakypropoznmkupodarou"/>
        </w:rPr>
        <w:footnoteRef/>
      </w:r>
      <w:r>
        <w:rPr/>
        <w:tab/>
        <w:t xml:space="preserve">  Patočka 1996a, p. 41.</w:t>
      </w:r>
    </w:p>
  </w:footnote>
  <w:footnote w:id="51">
    <w:p>
      <w:pPr>
        <w:pStyle w:val="EndnoteSymbol"/>
        <w:rPr/>
      </w:pPr>
      <w:r>
        <w:rPr>
          <w:rStyle w:val="Znakypropoznmkupodarou"/>
        </w:rPr>
        <w:footnoteRef/>
      </w:r>
      <w:r>
        <w:rPr/>
        <w:tab/>
        <w:t xml:space="preserve">  Patočka 1996a, p. 45. The source of the quotation/paraphrase has not been identified so far (cf. note 8 above) – Ivan Chvatík, the director of Jan Patočka Archives and the chief editor of Patočka’s Collected Works, confirms it in an e-mail of December 25, 2016 (thank you, Ivan).</w:t>
      </w:r>
    </w:p>
  </w:footnote>
  <w:footnote w:id="52">
    <w:p>
      <w:pPr>
        <w:pStyle w:val="EndnoteSymbol"/>
        <w:rPr/>
      </w:pPr>
      <w:r>
        <w:rPr>
          <w:rStyle w:val="Znakypropoznmkupodarou"/>
        </w:rPr>
        <w:footnoteRef/>
      </w:r>
      <w:r>
        <w:rPr/>
        <w:tab/>
        <w:t xml:space="preserve">  Patočka 2008, p. 70.</w:t>
      </w:r>
    </w:p>
  </w:footnote>
  <w:footnote w:id="53">
    <w:p>
      <w:pPr>
        <w:pStyle w:val="EndnoteSymbol"/>
        <w:rPr/>
      </w:pPr>
      <w:r>
        <w:rPr>
          <w:rStyle w:val="Znakypropoznmkupodarou"/>
        </w:rPr>
        <w:footnoteRef/>
      </w:r>
      <w:r>
        <w:rPr/>
        <w:tab/>
        <w:t xml:space="preserve">  Patočka 2008, p. 122.</w:t>
      </w:r>
    </w:p>
  </w:footnote>
  <w:footnote w:id="54">
    <w:p>
      <w:pPr>
        <w:pStyle w:val="EndnoteSymbol"/>
        <w:rPr/>
      </w:pPr>
      <w:r>
        <w:rPr>
          <w:rStyle w:val="Znakypropoznmkupodarou"/>
        </w:rPr>
        <w:footnoteRef/>
      </w:r>
      <w:r>
        <w:rPr/>
        <w:tab/>
        <w:t xml:space="preserve">  Patočka 2008, p. 330.</w:t>
      </w:r>
    </w:p>
  </w:footnote>
  <w:footnote w:id="55">
    <w:p>
      <w:pPr>
        <w:pStyle w:val="EndnoteSymbol"/>
        <w:rPr/>
      </w:pPr>
      <w:r>
        <w:rPr>
          <w:rStyle w:val="Znakypropoznmkupodarou"/>
        </w:rPr>
        <w:footnoteRef/>
      </w:r>
      <w:r>
        <w:rPr/>
        <w:tab/>
        <w:t xml:space="preserve">  Patočka 2008, p. 332.</w:t>
      </w:r>
    </w:p>
  </w:footnote>
  <w:footnote w:id="56">
    <w:p>
      <w:pPr>
        <w:pStyle w:val="EndnoteSymbol"/>
        <w:rPr/>
      </w:pPr>
      <w:r>
        <w:rPr>
          <w:rStyle w:val="Znakypropoznmkupodarou"/>
        </w:rPr>
        <w:footnoteRef/>
      </w:r>
      <w:r>
        <w:rPr/>
        <w:tab/>
        <w:t xml:space="preserve">  Patočka 2008, p. 344.</w:t>
      </w:r>
    </w:p>
  </w:footnote>
  <w:footnote w:id="57">
    <w:p>
      <w:pPr>
        <w:pStyle w:val="EndnoteSymbol"/>
        <w:rPr/>
      </w:pPr>
      <w:r>
        <w:rPr>
          <w:rStyle w:val="Znakypropoznmkupodarou"/>
        </w:rPr>
        <w:footnoteRef/>
      </w:r>
      <w:r>
        <w:rPr/>
        <w:tab/>
        <w:t xml:space="preserve">  Patočka 2008, p. 347.</w:t>
      </w:r>
    </w:p>
  </w:footnote>
  <w:footnote w:id="58">
    <w:p>
      <w:pPr>
        <w:pStyle w:val="EndnoteSymbol"/>
        <w:rPr/>
      </w:pPr>
      <w:r>
        <w:rPr>
          <w:rStyle w:val="Znakypropoznmkupodarou"/>
        </w:rPr>
        <w:footnoteRef/>
      </w:r>
      <w:r>
        <w:rPr/>
        <w:tab/>
        <w:t xml:space="preserve">  Patočka 2008, pp. 287-288.</w:t>
      </w:r>
    </w:p>
  </w:footnote>
  <w:footnote w:id="59">
    <w:p>
      <w:pPr>
        <w:pStyle w:val="EndnoteSymbol"/>
        <w:rPr/>
      </w:pPr>
      <w:r>
        <w:rPr>
          <w:rStyle w:val="Znakypropoznmkupodarou"/>
        </w:rPr>
        <w:footnoteRef/>
      </w:r>
      <w:r>
        <w:rPr/>
        <w:tab/>
        <w:t xml:space="preserve">  Patočka 2008, pp. 359-360.</w:t>
      </w:r>
    </w:p>
  </w:footnote>
  <w:footnote w:id="60">
    <w:p>
      <w:pPr>
        <w:pStyle w:val="EndnoteSymbol"/>
        <w:rPr/>
      </w:pPr>
      <w:r>
        <w:rPr>
          <w:rStyle w:val="Znakypropoznmkupodarou"/>
        </w:rPr>
        <w:footnoteRef/>
      </w:r>
      <w:r>
        <w:rPr/>
        <w:tab/>
        <w:t xml:space="preserve">  Patočka 2008, p. 395.</w:t>
      </w:r>
    </w:p>
  </w:footnote>
  <w:footnote w:id="61">
    <w:p>
      <w:pPr>
        <w:pStyle w:val="EndnoteSymbol"/>
        <w:rPr/>
      </w:pPr>
      <w:r>
        <w:rPr>
          <w:rStyle w:val="Znakypropoznmkupodarou"/>
        </w:rPr>
        <w:footnoteRef/>
      </w:r>
      <w:r>
        <w:rPr/>
        <w:tab/>
        <w:t xml:space="preserve">  Patočka 2008, p. 400. It is tempting to connect these ideas with Patočka’s late conception of the first movement of human existence (e.g. Patočka 1996b, pp. 31-32).</w:t>
      </w:r>
    </w:p>
  </w:footnote>
  <w:footnote w:id="62">
    <w:p>
      <w:pPr>
        <w:pStyle w:val="EndnoteSymbol"/>
        <w:rPr/>
      </w:pPr>
      <w:r>
        <w:rPr>
          <w:rStyle w:val="Znakypropoznmkupodarou"/>
        </w:rPr>
        <w:footnoteRef/>
      </w:r>
      <w:r>
        <w:rPr/>
        <w:tab/>
        <w:t xml:space="preserve">  Patočka 2008, p. 401.</w:t>
      </w:r>
    </w:p>
  </w:footnote>
  <w:footnote w:id="63">
    <w:p>
      <w:pPr>
        <w:pStyle w:val="EndnoteSymbol"/>
        <w:rPr/>
      </w:pPr>
      <w:r>
        <w:rPr>
          <w:rStyle w:val="Znakypropoznmkupodarou"/>
        </w:rPr>
        <w:footnoteRef/>
      </w:r>
      <w:r>
        <w:rPr/>
        <w:tab/>
        <w:t xml:space="preserve">  Patočka 2008, p. 401.</w:t>
      </w:r>
    </w:p>
  </w:footnote>
  <w:footnote w:id="64">
    <w:p>
      <w:pPr>
        <w:pStyle w:val="EndnoteSymbol"/>
        <w:rPr/>
      </w:pPr>
      <w:r>
        <w:rPr>
          <w:rStyle w:val="Znakypropoznmkupodarou"/>
        </w:rPr>
        <w:footnoteRef/>
      </w:r>
      <w:r>
        <w:rPr/>
        <w:tab/>
        <w:t xml:space="preserve">  Originally Patočka 1936; quoted from Patočka 2008, pp. 127-261.</w:t>
      </w:r>
    </w:p>
  </w:footnote>
  <w:footnote w:id="65">
    <w:p>
      <w:pPr>
        <w:pStyle w:val="EndnoteSymbol"/>
        <w:rPr/>
      </w:pPr>
      <w:r>
        <w:rPr>
          <w:rStyle w:val="Znakypropoznmkupodarou"/>
        </w:rPr>
        <w:footnoteRef/>
      </w:r>
      <w:r>
        <w:rPr/>
        <w:tab/>
        <w:t xml:space="preserve">  Patočka 2008, p. 200.</w:t>
      </w:r>
    </w:p>
  </w:footnote>
  <w:footnote w:id="66">
    <w:p>
      <w:pPr>
        <w:pStyle w:val="EndnoteSymbol"/>
        <w:rPr/>
      </w:pPr>
      <w:r>
        <w:rPr>
          <w:rStyle w:val="Znakypropoznmkupodarou"/>
        </w:rPr>
        <w:footnoteRef/>
      </w:r>
      <w:r>
        <w:rPr/>
        <w:tab/>
        <w:t xml:space="preserve">  Patočka 2008, p. 210.</w:t>
      </w:r>
    </w:p>
  </w:footnote>
  <w:footnote w:id="67">
    <w:p>
      <w:pPr>
        <w:pStyle w:val="EndnoteSymbol"/>
        <w:rPr/>
      </w:pPr>
      <w:r>
        <w:rPr>
          <w:rStyle w:val="Znakypropoznmkupodarou"/>
        </w:rPr>
        <w:footnoteRef/>
      </w:r>
      <w:r>
        <w:rPr/>
        <w:tab/>
        <w:t xml:space="preserve">  Patočka 2008, p. 197.</w:t>
      </w:r>
    </w:p>
  </w:footnote>
  <w:footnote w:id="68">
    <w:p>
      <w:pPr>
        <w:pStyle w:val="EndnoteSymbol"/>
        <w:rPr/>
      </w:pPr>
      <w:r>
        <w:rPr>
          <w:rStyle w:val="Znakypropoznmkupodarou"/>
        </w:rPr>
        <w:footnoteRef/>
      </w:r>
      <w:r>
        <w:rPr/>
        <w:tab/>
        <w:t xml:space="preserve">  See Patočka 2008, pp. 438-448.</w:t>
      </w:r>
    </w:p>
  </w:footnote>
  <w:footnote w:id="69">
    <w:p>
      <w:pPr>
        <w:pStyle w:val="EndnoteSymbol"/>
        <w:rPr/>
      </w:pPr>
      <w:r>
        <w:rPr>
          <w:rStyle w:val="Znakypropoznmkupodarou"/>
        </w:rPr>
        <w:footnoteRef/>
      </w:r>
      <w:r>
        <w:rPr/>
        <w:tab/>
        <w:t xml:space="preserve">  Patočka 2008, pp. 322-326.</w:t>
      </w:r>
    </w:p>
  </w:footnote>
  <w:footnote w:id="70">
    <w:p>
      <w:pPr>
        <w:pStyle w:val="EndnoteSymbol"/>
        <w:rPr/>
      </w:pPr>
      <w:r>
        <w:rPr>
          <w:rStyle w:val="Znakypropoznmkupodarou"/>
        </w:rPr>
        <w:footnoteRef/>
      </w:r>
      <w:r>
        <w:rPr/>
        <w:tab/>
        <w:t xml:space="preserve">  Patočka 2008, p. 323.</w:t>
      </w:r>
    </w:p>
  </w:footnote>
  <w:footnote w:id="71">
    <w:p>
      <w:pPr>
        <w:pStyle w:val="EndnoteSymbol"/>
        <w:rPr/>
      </w:pPr>
      <w:r>
        <w:rPr>
          <w:rStyle w:val="Znakypropoznmkupodarou"/>
        </w:rPr>
        <w:footnoteRef/>
      </w:r>
      <w:r>
        <w:rPr/>
        <w:tab/>
        <w:t xml:space="preserve">  Patočka 2008, p. 324.</w:t>
      </w:r>
    </w:p>
  </w:footnote>
  <w:footnote w:id="72">
    <w:p>
      <w:pPr>
        <w:pStyle w:val="EndnoteSymbol"/>
        <w:rPr/>
      </w:pPr>
      <w:r>
        <w:rPr>
          <w:rStyle w:val="Znakypropoznmkupodarou"/>
        </w:rPr>
        <w:footnoteRef/>
      </w:r>
      <w:r>
        <w:rPr/>
        <w:tab/>
        <w:t xml:space="preserve">  Patočka 2008, p. 324.</w:t>
      </w:r>
    </w:p>
  </w:footnote>
  <w:footnote w:id="73">
    <w:p>
      <w:pPr>
        <w:pStyle w:val="EndnoteSymbol"/>
        <w:rPr/>
      </w:pPr>
      <w:r>
        <w:rPr>
          <w:rStyle w:val="Znakypropoznmkupodarou"/>
        </w:rPr>
        <w:footnoteRef/>
      </w:r>
      <w:r>
        <w:rPr/>
        <w:tab/>
        <w:t xml:space="preserve">  Patočka 2014, pp. 71 and 184-185.</w:t>
      </w:r>
    </w:p>
  </w:footnote>
  <w:footnote w:id="74">
    <w:p>
      <w:pPr>
        <w:pStyle w:val="EndnoteSymbol"/>
        <w:rPr/>
      </w:pPr>
      <w:r>
        <w:rPr>
          <w:rStyle w:val="Znakypropoznmkupodarou"/>
        </w:rPr>
        <w:footnoteRef/>
      </w:r>
      <w:r>
        <w:rPr/>
        <w:tab/>
        <w:t xml:space="preserve">  Patočka 2014, pp. 140-141.</w:t>
      </w:r>
    </w:p>
  </w:footnote>
  <w:footnote w:id="75">
    <w:p>
      <w:pPr>
        <w:pStyle w:val="EndnoteSymbol"/>
        <w:rPr/>
      </w:pPr>
      <w:r>
        <w:rPr>
          <w:rStyle w:val="Znakypropoznmkupodarou"/>
        </w:rPr>
        <w:footnoteRef/>
      </w:r>
      <w:r>
        <w:rPr/>
        <w:tab/>
        <w:t xml:space="preserve">  Patočka 2014, p. 200.</w:t>
      </w:r>
    </w:p>
  </w:footnote>
  <w:footnote w:id="76">
    <w:p>
      <w:pPr>
        <w:pStyle w:val="EndnoteSymbol"/>
        <w:rPr/>
      </w:pPr>
      <w:r>
        <w:rPr>
          <w:rStyle w:val="Znakypropoznmkupodarou"/>
        </w:rPr>
        <w:footnoteRef/>
      </w:r>
      <w:r>
        <w:rPr/>
        <w:tab/>
        <w:t xml:space="preserve">  Patočka 2014, pp. 110 and 117.</w:t>
      </w:r>
    </w:p>
  </w:footnote>
  <w:footnote w:id="77">
    <w:p>
      <w:pPr>
        <w:pStyle w:val="EndnoteSymbol"/>
        <w:rPr/>
      </w:pPr>
      <w:r>
        <w:rPr>
          <w:rStyle w:val="Znakypropoznmkupodarou"/>
        </w:rPr>
        <w:footnoteRef/>
      </w:r>
      <w:r>
        <w:rPr/>
        <w:tab/>
        <w:t xml:space="preserve">  Patočka 2009, p. 610.</w:t>
      </w:r>
    </w:p>
  </w:footnote>
  <w:footnote w:id="78">
    <w:p>
      <w:pPr>
        <w:pStyle w:val="EndnoteSymbol"/>
        <w:rPr/>
      </w:pPr>
      <w:r>
        <w:rPr>
          <w:rStyle w:val="Znakypropoznmkupodarou"/>
        </w:rPr>
        <w:footnoteRef/>
      </w:r>
      <w:r>
        <w:rPr/>
        <w:tab/>
        <w:t xml:space="preserve">  Patočka 1990, p. 27.</w:t>
      </w:r>
    </w:p>
  </w:footnote>
  <w:footnote w:id="79">
    <w:p>
      <w:pPr>
        <w:pStyle w:val="EndnoteSymbol"/>
        <w:rPr/>
      </w:pPr>
      <w:r>
        <w:rPr>
          <w:rStyle w:val="Znakypropoznmkupodarou"/>
        </w:rPr>
        <w:footnoteRef/>
      </w:r>
      <w:r>
        <w:rPr/>
        <w:tab/>
        <w:t xml:space="preserve">  Patočka 1990, p. 27.</w:t>
      </w:r>
    </w:p>
  </w:footnote>
  <w:footnote w:id="80">
    <w:p>
      <w:pPr>
        <w:pStyle w:val="EndnoteSymbol"/>
        <w:rPr/>
      </w:pPr>
      <w:r>
        <w:rPr>
          <w:rStyle w:val="Znakypropoznmkupodarou"/>
        </w:rPr>
        <w:footnoteRef/>
      </w:r>
      <w:r>
        <w:rPr/>
        <w:tab/>
        <w:t xml:space="preserve">  Heidegger 1996, pp. 156, 233, 396 (etc.).</w:t>
      </w:r>
    </w:p>
  </w:footnote>
  <w:footnote w:id="81">
    <w:p>
      <w:pPr>
        <w:pStyle w:val="EndnoteSymbol"/>
        <w:rPr/>
      </w:pPr>
      <w:r>
        <w:rPr>
          <w:rStyle w:val="Znakypropoznmkupodarou"/>
        </w:rPr>
        <w:footnoteRef/>
      </w:r>
      <w:r>
        <w:rPr/>
        <w:tab/>
        <w:t xml:space="preserve">  Plato, </w:t>
      </w:r>
      <w:r>
        <w:rPr>
          <w:i/>
          <w:iCs/>
        </w:rPr>
        <w:t>Apology of Socrates</w:t>
      </w:r>
      <w:r>
        <w:rPr>
          <w:i w:val="false"/>
          <w:iCs w:val="false"/>
        </w:rPr>
        <w:t xml:space="preserve"> 29 e1-3, 30 a7-b2 etc.</w:t>
      </w:r>
    </w:p>
  </w:footnote>
  <w:footnote w:id="82">
    <w:p>
      <w:pPr>
        <w:pStyle w:val="EndnoteSymbol"/>
        <w:rPr/>
      </w:pPr>
      <w:r>
        <w:rPr>
          <w:rStyle w:val="Znakypropoznmkupodarou"/>
        </w:rPr>
        <w:footnoteRef/>
      </w:r>
      <w:r>
        <w:rPr/>
        <w:tab/>
        <w:t xml:space="preserve">  Patočka 1990, p. 31.</w:t>
      </w:r>
    </w:p>
  </w:footnote>
  <w:footnote w:id="83">
    <w:p>
      <w:pPr>
        <w:pStyle w:val="EndnoteSymbol"/>
        <w:rPr/>
      </w:pPr>
      <w:r>
        <w:rPr>
          <w:rStyle w:val="Znakypropoznmkupodarou"/>
        </w:rPr>
        <w:footnoteRef/>
      </w:r>
      <w:r>
        <w:rPr/>
        <w:tab/>
        <w:t xml:space="preserve">  The reader who wishes to learn more about Patočka’s life and death can consult Kohák 1989 or Moural 2013.</w:t>
      </w:r>
    </w:p>
  </w:footnote>
  <w:footnote w:id="84">
    <w:p>
      <w:pPr>
        <w:pStyle w:val="EndnoteSymbol"/>
        <w:rPr/>
      </w:pPr>
      <w:r>
        <w:rPr>
          <w:rStyle w:val="Znakypropoznmkupodarou"/>
        </w:rPr>
        <w:footnoteRef/>
      </w:r>
      <w:r>
        <w:rPr/>
        <w:tab/>
        <w:t xml:space="preserve">  My work on this paper was supported by a FF UJEP grant 2016 - “16”.</w:t>
      </w:r>
    </w:p>
  </w:footnote>
</w:footnotes>
</file>

<file path=word/settings.xml><?xml version="1.0" encoding="utf-8"?>
<w:settings xmlns:w="http://schemas.openxmlformats.org/wordprocessingml/2006/main">
  <w:zoom w:percent="100"/>
  <w:defaultTabStop w:val="709"/>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eorgia" w:hAnsi="Georgia" w:eastAsia="SimSun" w:cs="Arial"/>
        <w:sz w:val="20"/>
        <w:szCs w:val="24"/>
        <w:lang w:val="en-US" w:eastAsia="zh-CN" w:bidi="hi-IN"/>
      </w:rPr>
    </w:rPrDefault>
    <w:pPrDefault>
      <w:pPr/>
    </w:pPrDefault>
  </w:docDefaults>
  <w:style w:type="paragraph" w:styleId="Normal">
    <w:name w:val="Normal"/>
    <w:qFormat/>
    <w:pPr>
      <w:widowControl/>
      <w:overflowPunct w:val="true"/>
      <w:bidi w:val="0"/>
      <w:jc w:val="left"/>
    </w:pPr>
    <w:rPr>
      <w:rFonts w:ascii="Georgia" w:hAnsi="Georgia" w:eastAsia="SimSun" w:cs="Arial"/>
      <w:color w:val="00000A"/>
      <w:kern w:val="0"/>
      <w:sz w:val="21"/>
      <w:szCs w:val="24"/>
      <w:lang w:val="en-US" w:eastAsia="zh-CN" w:bidi="hi-IN"/>
    </w:rPr>
  </w:style>
  <w:style w:type="character" w:styleId="Znakyprovysvtlivky">
    <w:name w:val="Znaky pro vysvětlivky"/>
    <w:qFormat/>
    <w:rPr/>
  </w:style>
  <w:style w:type="character" w:styleId="Ukotvenvysvtlivky">
    <w:name w:val="Ukotvení vysvětlivky"/>
    <w:qFormat/>
    <w:rPr>
      <w:vertAlign w:val="superscript"/>
    </w:rPr>
  </w:style>
  <w:style w:type="character" w:styleId="Slovndk">
    <w:name w:val="Číslování řádků"/>
    <w:qFormat/>
    <w:rPr/>
  </w:style>
  <w:style w:type="character" w:styleId="Znakypropoznmkupodarou">
    <w:name w:val="Znaky pro poznámku pod čarou"/>
    <w:qFormat/>
    <w:rPr/>
  </w:style>
  <w:style w:type="character" w:styleId="Ukotvenpoznmkypodarou">
    <w:name w:val="Ukotvení poznámky pod čarou"/>
    <w:qFormat/>
    <w:rPr>
      <w:vertAlign w:val="superscript"/>
    </w:rPr>
  </w:style>
  <w:style w:type="character" w:styleId="EndnoteCharacters">
    <w:name w:val="Endnote Characters"/>
    <w:qFormat/>
    <w:rPr/>
  </w:style>
  <w:style w:type="character" w:styleId="EndnoteAnchor">
    <w:name w:val="Endnote Anchor"/>
    <w:qFormat/>
    <w:rPr>
      <w:vertAlign w:val="superscript"/>
    </w:rPr>
  </w:style>
  <w:style w:type="character" w:styleId="FootnoteAnchor">
    <w:name w:val="Footnote Anchor"/>
    <w:qFormat/>
    <w:rPr>
      <w:vertAlign w:val="superscript"/>
    </w:rPr>
  </w:style>
  <w:style w:type="character" w:styleId="FootnoteCharacters">
    <w:name w:val="Footnote Characters"/>
    <w:qFormat/>
    <w:rPr/>
  </w:style>
  <w:style w:type="paragraph" w:styleId="Nadpis">
    <w:name w:val="Nadpis"/>
    <w:basedOn w:val="Normal"/>
    <w:next w:val="Tlotextu"/>
    <w:qFormat/>
    <w:pPr>
      <w:keepNext w:val="true"/>
      <w:spacing w:before="240" w:after="120"/>
    </w:pPr>
    <w:rPr>
      <w:rFonts w:ascii="Georgia" w:hAnsi="Georgia" w:eastAsia="Microsoft YaHei" w:cs="Arial"/>
      <w:sz w:val="24"/>
      <w:szCs w:val="28"/>
    </w:rPr>
  </w:style>
  <w:style w:type="paragraph" w:styleId="Tlotextu">
    <w:name w:val="Body Text"/>
    <w:basedOn w:val="Normal"/>
    <w:pPr>
      <w:spacing w:lineRule="auto" w:line="288" w:before="0" w:after="140"/>
    </w:pPr>
    <w:rPr/>
  </w:style>
  <w:style w:type="paragraph" w:styleId="Seznam">
    <w:name w:val="List"/>
    <w:basedOn w:val="Tlotextu"/>
    <w:pPr/>
    <w:rPr>
      <w:rFonts w:ascii="Georgia" w:hAnsi="Georgia" w:cs="Arial"/>
    </w:rPr>
  </w:style>
  <w:style w:type="paragraph" w:styleId="Popisek">
    <w:name w:val="Caption"/>
    <w:basedOn w:val="Normal"/>
    <w:qFormat/>
    <w:pPr>
      <w:suppressLineNumbers/>
      <w:spacing w:before="120" w:after="120"/>
    </w:pPr>
    <w:rPr>
      <w:rFonts w:ascii="Georgia" w:hAnsi="Georgia" w:cs="Arial"/>
      <w:i/>
      <w:iCs/>
      <w:sz w:val="21"/>
      <w:szCs w:val="24"/>
    </w:rPr>
  </w:style>
  <w:style w:type="paragraph" w:styleId="Rejstk">
    <w:name w:val="Rejstřík"/>
    <w:basedOn w:val="Normal"/>
    <w:qFormat/>
    <w:pPr>
      <w:suppressLineNumbers/>
    </w:pPr>
    <w:rPr>
      <w:rFonts w:ascii="Georgia" w:hAnsi="Georgia" w:cs="Arial"/>
    </w:rPr>
  </w:style>
  <w:style w:type="paragraph" w:styleId="EndnoteSymbol">
    <w:name w:val="Endnote Symbol"/>
    <w:basedOn w:val="Normal"/>
    <w:qFormat/>
    <w:pPr/>
    <w:rPr/>
  </w:style>
  <w:style w:type="paragraph" w:styleId="Zpat">
    <w:name w:val="Footer"/>
    <w:basedOn w:val="Normal"/>
    <w:pPr>
      <w:suppressLineNumbers/>
      <w:tabs>
        <w:tab w:val="clear" w:pos="709"/>
        <w:tab w:val="center" w:pos="4819" w:leader="none"/>
        <w:tab w:val="right" w:pos="9638" w:leader="none"/>
      </w:tabs>
    </w:pPr>
    <w:rPr/>
  </w:style>
  <w:style w:type="paragraph" w:styleId="Poznmkapodarou">
    <w:name w:val="Footnote Text"/>
    <w:basedOn w:val="Normal"/>
    <w:pPr>
      <w:suppressLineNumbers/>
      <w:ind w:left="339" w:right="0" w:hanging="339"/>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4496</TotalTime>
  <Application>LibreOffice/6.2.4.2$Windows_X86_64 LibreOffice_project/2412653d852ce75f65fbfa83fb7e7b669a126d64</Application>
  <Pages>12</Pages>
  <Words>7533</Words>
  <Characters>40128</Characters>
  <CharactersWithSpaces>47835</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2016-11-05T07:52:00Z</dcterms:created>
  <dc:creator/>
  <dc:description/>
  <dc:language>en-US</dc:language>
  <cp:lastModifiedBy/>
  <dcterms:modified xsi:type="dcterms:W3CDTF">2019-08-08T00:22:49Z</dcterms:modified>
  <cp:revision>22</cp:revision>
  <dc:subject/>
  <dc:title/>
</cp:coreProperties>
</file>