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3EDC" w:rsidRDefault="00AF2EA2">
      <w:pPr>
        <w:pStyle w:val="Nadpis1"/>
        <w:jc w:val="center"/>
      </w:pPr>
      <w:r>
        <w:t>Why does Multiculturalism Work in Canada?</w:t>
      </w:r>
    </w:p>
    <w:p w:rsidR="00B43EDC" w:rsidRDefault="00AF2EA2">
      <w:pPr>
        <w:pStyle w:val="graf"/>
        <w:jc w:val="both"/>
      </w:pPr>
      <w:r>
        <w:rPr>
          <w:sz w:val="22"/>
          <w:szCs w:val="22"/>
        </w:rPr>
        <w:t xml:space="preserve">From reading news headlines during the past three years in the United States and Europe, it appears that for the most part, </w:t>
      </w:r>
      <w:hyperlink r:id="rId6" w:history="1">
        <w:r>
          <w:rPr>
            <w:rStyle w:val="Hypertextovodkaz"/>
            <w:color w:val="auto"/>
            <w:sz w:val="22"/>
            <w:szCs w:val="22"/>
            <w:u w:val="none"/>
          </w:rPr>
          <w:t>multiculturalism hasn’t lived up to its expectations</w:t>
        </w:r>
      </w:hyperlink>
      <w:r>
        <w:rPr>
          <w:sz w:val="22"/>
          <w:szCs w:val="22"/>
        </w:rPr>
        <w:t>.</w:t>
      </w:r>
    </w:p>
    <w:p w:rsidR="00B43EDC" w:rsidRDefault="00AF2EA2">
      <w:pPr>
        <w:pStyle w:val="graf"/>
        <w:jc w:val="both"/>
        <w:rPr>
          <w:sz w:val="22"/>
          <w:szCs w:val="22"/>
        </w:rPr>
      </w:pPr>
      <w:r>
        <w:rPr>
          <w:sz w:val="22"/>
          <w:szCs w:val="22"/>
        </w:rPr>
        <w:t>Even worse, it’s been blamed for accelerating the rise of eth</w:t>
      </w:r>
      <w:r>
        <w:rPr>
          <w:sz w:val="22"/>
          <w:szCs w:val="22"/>
        </w:rPr>
        <w:t>nic nationalism and far-right movements on both sides of the Atlantic.</w:t>
      </w:r>
    </w:p>
    <w:p w:rsidR="00B43EDC" w:rsidRDefault="00AF2EA2">
      <w:pPr>
        <w:pStyle w:val="graf"/>
        <w:jc w:val="both"/>
        <w:rPr>
          <w:sz w:val="22"/>
          <w:szCs w:val="22"/>
        </w:rPr>
      </w:pPr>
      <w:r>
        <w:rPr>
          <w:sz w:val="22"/>
          <w:szCs w:val="22"/>
        </w:rPr>
        <w:t>In the midst of this tempest, Canada remains a relative oasis of calm, free of the racial and ethnic tensions (and violence) witnessed in America and in Europe.</w:t>
      </w:r>
    </w:p>
    <w:p w:rsidR="00B43EDC" w:rsidRDefault="00AF2EA2">
      <w:pPr>
        <w:pStyle w:val="graf"/>
        <w:jc w:val="both"/>
        <w:rPr>
          <w:sz w:val="22"/>
          <w:szCs w:val="22"/>
        </w:rPr>
      </w:pPr>
      <w:r>
        <w:rPr>
          <w:sz w:val="22"/>
          <w:szCs w:val="22"/>
        </w:rPr>
        <w:t>So why does multicultura</w:t>
      </w:r>
      <w:r>
        <w:rPr>
          <w:sz w:val="22"/>
          <w:szCs w:val="22"/>
        </w:rPr>
        <w:t>lism work in the Great White North? What has Canada done right in implementing its policy of multiculturalism?</w:t>
      </w:r>
    </w:p>
    <w:p w:rsidR="00B43EDC" w:rsidRDefault="00AF2EA2">
      <w:pPr>
        <w:pStyle w:val="Nadpis3"/>
        <w:jc w:val="both"/>
        <w:rPr>
          <w:sz w:val="22"/>
          <w:szCs w:val="22"/>
        </w:rPr>
      </w:pPr>
      <w:r>
        <w:rPr>
          <w:sz w:val="22"/>
          <w:szCs w:val="22"/>
        </w:rPr>
        <w:t>A Brief History</w:t>
      </w:r>
    </w:p>
    <w:p w:rsidR="00B43EDC" w:rsidRDefault="00AF2EA2">
      <w:pPr>
        <w:jc w:val="both"/>
      </w:pPr>
      <w:r>
        <w:rPr>
          <w:noProof/>
          <w:lang w:eastAsia="cs-CZ"/>
        </w:rPr>
        <w:drawing>
          <wp:inline distT="0" distB="0" distL="0" distR="0">
            <wp:extent cx="4258891" cy="2004383"/>
            <wp:effectExtent l="0" t="0" r="0" b="0"/>
            <wp:docPr id="1" name="Obrázek 7" descr="https://cdn-images-1.medium.com/max/1600/1*I96uchwqow74F1ZDHkBt4w.jpe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rcRect/>
                    <a:stretch>
                      <a:fillRect/>
                    </a:stretch>
                  </pic:blipFill>
                  <pic:spPr>
                    <a:xfrm>
                      <a:off x="0" y="0"/>
                      <a:ext cx="4258891" cy="2004383"/>
                    </a:xfrm>
                    <a:prstGeom prst="rect">
                      <a:avLst/>
                    </a:prstGeom>
                    <a:noFill/>
                    <a:ln>
                      <a:noFill/>
                      <a:prstDash/>
                    </a:ln>
                  </pic:spPr>
                </pic:pic>
              </a:graphicData>
            </a:graphic>
          </wp:inline>
        </w:drawing>
      </w:r>
    </w:p>
    <w:p w:rsidR="00B43EDC" w:rsidRDefault="00AF2EA2">
      <w:pPr>
        <w:pStyle w:val="graf"/>
        <w:jc w:val="both"/>
      </w:pPr>
      <w:r>
        <w:rPr>
          <w:sz w:val="22"/>
          <w:szCs w:val="22"/>
        </w:rPr>
        <w:t xml:space="preserve">Multiculturalism became official Canadian policy under the government of the late </w:t>
      </w:r>
      <w:hyperlink r:id="rId8" w:history="1">
        <w:r>
          <w:rPr>
            <w:rStyle w:val="Hypertextovodkaz"/>
            <w:color w:val="auto"/>
            <w:sz w:val="22"/>
            <w:szCs w:val="22"/>
            <w:u w:val="none"/>
          </w:rPr>
          <w:t>Pierre Elliot Trudeau</w:t>
        </w:r>
      </w:hyperlink>
      <w:r>
        <w:rPr>
          <w:sz w:val="22"/>
          <w:szCs w:val="22"/>
        </w:rPr>
        <w:t xml:space="preserve"> (</w:t>
      </w:r>
      <w:hyperlink r:id="rId9" w:history="1">
        <w:r>
          <w:rPr>
            <w:rStyle w:val="Hypertextovodkaz"/>
            <w:color w:val="auto"/>
            <w:sz w:val="22"/>
            <w:szCs w:val="22"/>
            <w:u w:val="none"/>
          </w:rPr>
          <w:t>Justin</w:t>
        </w:r>
      </w:hyperlink>
      <w:r>
        <w:rPr>
          <w:sz w:val="22"/>
          <w:szCs w:val="22"/>
        </w:rPr>
        <w:t>’s father) in 1971. In doing so, Canada was the first country in the world to adopt multiculturalism as official policy.</w:t>
      </w:r>
    </w:p>
    <w:p w:rsidR="00B43EDC" w:rsidRDefault="00B43EDC">
      <w:pPr>
        <w:pStyle w:val="graf"/>
        <w:jc w:val="both"/>
      </w:pPr>
      <w:hyperlink r:id="rId10" w:history="1">
        <w:r w:rsidR="00AF2EA2">
          <w:rPr>
            <w:rStyle w:val="Hypertextovodkaz"/>
            <w:color w:val="auto"/>
            <w:sz w:val="22"/>
            <w:szCs w:val="22"/>
            <w:u w:val="none"/>
          </w:rPr>
          <w:t xml:space="preserve">What “multiculturalism” means in the Canadian context </w:t>
        </w:r>
      </w:hyperlink>
      <w:r w:rsidR="00AF2EA2">
        <w:rPr>
          <w:sz w:val="22"/>
          <w:szCs w:val="22"/>
        </w:rPr>
        <w:t>is that:</w:t>
      </w:r>
    </w:p>
    <w:p w:rsidR="00B43EDC" w:rsidRDefault="00AF2EA2">
      <w:pPr>
        <w:jc w:val="both"/>
      </w:pPr>
      <w:r>
        <w:rPr>
          <w:rFonts w:ascii="Times New Roman" w:hAnsi="Times New Roman"/>
        </w:rPr>
        <w:t>Canadian multiculturalism is fundamental to our belief that all citizens are equal. Multiculturalis</w:t>
      </w:r>
      <w:r>
        <w:rPr>
          <w:rFonts w:ascii="Times New Roman" w:hAnsi="Times New Roman"/>
        </w:rPr>
        <w:t xml:space="preserve">m ensures that </w:t>
      </w:r>
      <w:r>
        <w:rPr>
          <w:rStyle w:val="Siln"/>
          <w:rFonts w:ascii="Times New Roman" w:hAnsi="Times New Roman"/>
        </w:rPr>
        <w:t>all citizens can keep their identities, can take pride in their ancestry and have a sense of belonging</w:t>
      </w:r>
      <w:r>
        <w:rPr>
          <w:rFonts w:ascii="Times New Roman" w:hAnsi="Times New Roman"/>
        </w:rPr>
        <w:t xml:space="preserve">. </w:t>
      </w:r>
      <w:r>
        <w:rPr>
          <w:rStyle w:val="Siln"/>
          <w:rFonts w:ascii="Times New Roman" w:hAnsi="Times New Roman"/>
        </w:rPr>
        <w:t>Acceptance gives Canadians a feeling of security and self-confidence, making them more open to, and accepting of, diverse cultures</w:t>
      </w:r>
      <w:r>
        <w:rPr>
          <w:rFonts w:ascii="Times New Roman" w:hAnsi="Times New Roman"/>
        </w:rPr>
        <w:t>. The C</w:t>
      </w:r>
      <w:r>
        <w:rPr>
          <w:rFonts w:ascii="Times New Roman" w:hAnsi="Times New Roman"/>
        </w:rPr>
        <w:t>anadian experience has shown that multiculturalism encourages racial and ethnic harmony and cross-cultural understanding.</w:t>
      </w:r>
    </w:p>
    <w:p w:rsidR="00B43EDC" w:rsidRDefault="00AF2EA2">
      <w:pPr>
        <w:jc w:val="both"/>
      </w:pPr>
      <w:r>
        <w:rPr>
          <w:rStyle w:val="Siln"/>
          <w:rFonts w:ascii="Times New Roman" w:hAnsi="Times New Roman"/>
        </w:rPr>
        <w:t>Mutual respect helps develop common attitudes</w:t>
      </w:r>
      <w:r>
        <w:rPr>
          <w:rFonts w:ascii="Times New Roman" w:hAnsi="Times New Roman"/>
        </w:rPr>
        <w:t>. New Canadians, no less than other Canadians, respect the political and legal process, a</w:t>
      </w:r>
      <w:r>
        <w:rPr>
          <w:rFonts w:ascii="Times New Roman" w:hAnsi="Times New Roman"/>
        </w:rPr>
        <w:t>nd want to address issues by legal and constitutional means.</w:t>
      </w:r>
    </w:p>
    <w:p w:rsidR="00B43EDC" w:rsidRDefault="00AF2EA2">
      <w:pPr>
        <w:jc w:val="both"/>
      </w:pPr>
      <w:r>
        <w:rPr>
          <w:rFonts w:ascii="Times New Roman" w:hAnsi="Times New Roman"/>
        </w:rPr>
        <w:t xml:space="preserve">Through multiculturalism, </w:t>
      </w:r>
      <w:r>
        <w:rPr>
          <w:rStyle w:val="Siln"/>
          <w:rFonts w:ascii="Times New Roman" w:hAnsi="Times New Roman"/>
        </w:rPr>
        <w:t>Canada recognizes the potential of all Canadians, encouraging them to integrate into their society and take an active part in its social, cultural, economic and politica</w:t>
      </w:r>
      <w:r>
        <w:rPr>
          <w:rStyle w:val="Siln"/>
          <w:rFonts w:ascii="Times New Roman" w:hAnsi="Times New Roman"/>
        </w:rPr>
        <w:t>l affairs</w:t>
      </w:r>
      <w:r>
        <w:rPr>
          <w:rFonts w:ascii="Times New Roman" w:hAnsi="Times New Roman"/>
        </w:rPr>
        <w:t>.</w:t>
      </w:r>
    </w:p>
    <w:p w:rsidR="00B43EDC" w:rsidRDefault="00AF2EA2">
      <w:pPr>
        <w:pStyle w:val="graf"/>
        <w:jc w:val="both"/>
      </w:pPr>
      <w:r>
        <w:rPr>
          <w:sz w:val="22"/>
          <w:szCs w:val="22"/>
        </w:rPr>
        <w:t xml:space="preserve">This policy was implemented to counter the </w:t>
      </w:r>
      <w:hyperlink r:id="rId11" w:history="1">
        <w:r>
          <w:rPr>
            <w:rStyle w:val="Hypertextovodkaz"/>
            <w:color w:val="auto"/>
            <w:sz w:val="22"/>
            <w:szCs w:val="22"/>
            <w:u w:val="none"/>
          </w:rPr>
          <w:t>Quebec separatist movement</w:t>
        </w:r>
      </w:hyperlink>
      <w:r>
        <w:rPr>
          <w:sz w:val="22"/>
          <w:szCs w:val="22"/>
        </w:rPr>
        <w:t xml:space="preserve"> which had reached its apex one year earlier in 1970. To the uninitiated, Quebec is the French speaki</w:t>
      </w:r>
      <w:r>
        <w:rPr>
          <w:sz w:val="22"/>
          <w:szCs w:val="22"/>
        </w:rPr>
        <w:t>ng province in Canada, founded by ethnic French settlers in 1608. It remained French territory until the French were defeated by the British in 1759, leading to the surrender of Quebec to the British.</w:t>
      </w:r>
    </w:p>
    <w:p w:rsidR="00B43EDC" w:rsidRDefault="00AF2EA2">
      <w:pPr>
        <w:pStyle w:val="graf"/>
        <w:jc w:val="both"/>
        <w:rPr>
          <w:sz w:val="22"/>
          <w:szCs w:val="22"/>
        </w:rPr>
      </w:pPr>
      <w:r>
        <w:rPr>
          <w:sz w:val="22"/>
          <w:szCs w:val="22"/>
        </w:rPr>
        <w:lastRenderedPageBreak/>
        <w:t>Quebec eventually became one of many Canadian provinces</w:t>
      </w:r>
      <w:r>
        <w:rPr>
          <w:sz w:val="22"/>
          <w:szCs w:val="22"/>
        </w:rPr>
        <w:t>, but the resentment by the French speaking peoples of Quebec against “English Canada” had always simmered just beneath the surface, and this eventually led to the Quebec sovereignty movement.</w:t>
      </w:r>
    </w:p>
    <w:p w:rsidR="00B43EDC" w:rsidRDefault="00AF2EA2">
      <w:pPr>
        <w:pStyle w:val="graf"/>
        <w:jc w:val="both"/>
      </w:pPr>
      <w:r>
        <w:rPr>
          <w:sz w:val="22"/>
          <w:szCs w:val="22"/>
        </w:rPr>
        <w:t xml:space="preserve">During </w:t>
      </w:r>
      <w:hyperlink r:id="rId12" w:history="1">
        <w:r>
          <w:rPr>
            <w:rStyle w:val="Hypertextovodkaz"/>
            <w:color w:val="auto"/>
            <w:sz w:val="22"/>
            <w:szCs w:val="22"/>
            <w:u w:val="none"/>
          </w:rPr>
          <w:t>October 1970</w:t>
        </w:r>
      </w:hyperlink>
      <w:r>
        <w:rPr>
          <w:sz w:val="22"/>
          <w:szCs w:val="22"/>
        </w:rPr>
        <w:t xml:space="preserve">, a Marxist/Leninist paramilitary group named the </w:t>
      </w:r>
      <w:hyperlink r:id="rId13" w:history="1">
        <w:r>
          <w:rPr>
            <w:rStyle w:val="Hypertextovodkaz"/>
            <w:color w:val="auto"/>
            <w:sz w:val="22"/>
            <w:szCs w:val="22"/>
            <w:u w:val="none"/>
          </w:rPr>
          <w:t>Front de libération du Quebec</w:t>
        </w:r>
      </w:hyperlink>
      <w:r>
        <w:rPr>
          <w:sz w:val="22"/>
          <w:szCs w:val="22"/>
        </w:rPr>
        <w:t xml:space="preserve">, had kidnapped Quebec cabinet minister Pierre LaPorte and British diplomat James </w:t>
      </w:r>
      <w:r>
        <w:rPr>
          <w:sz w:val="22"/>
          <w:szCs w:val="22"/>
        </w:rPr>
        <w:t>Cross in the Montreal metropolitan area. They had eventually murdered Laporte, but released Cross after negotiations led to his release and the kidnappers’ exile to Cuba.</w:t>
      </w:r>
    </w:p>
    <w:p w:rsidR="00B43EDC" w:rsidRDefault="00AF2EA2">
      <w:pPr>
        <w:pStyle w:val="graf"/>
        <w:jc w:val="both"/>
      </w:pPr>
      <w:r>
        <w:rPr>
          <w:rStyle w:val="Siln"/>
          <w:sz w:val="22"/>
          <w:szCs w:val="22"/>
        </w:rPr>
        <w:t>In this context, the primary impetus for Canada’s multiculturalism policy was to comb</w:t>
      </w:r>
      <w:r>
        <w:rPr>
          <w:rStyle w:val="Siln"/>
          <w:sz w:val="22"/>
          <w:szCs w:val="22"/>
        </w:rPr>
        <w:t>at ethnic nationalism.</w:t>
      </w:r>
    </w:p>
    <w:p w:rsidR="00B43EDC" w:rsidRDefault="00AF2EA2">
      <w:pPr>
        <w:pStyle w:val="graf"/>
        <w:jc w:val="both"/>
      </w:pPr>
      <w:r>
        <w:rPr>
          <w:sz w:val="22"/>
          <w:szCs w:val="22"/>
        </w:rPr>
        <w:t xml:space="preserve">The concept of multiculturalism was again acknowledged in the </w:t>
      </w:r>
      <w:hyperlink r:id="rId14" w:history="1">
        <w:r>
          <w:rPr>
            <w:rStyle w:val="Hypertextovodkaz"/>
            <w:color w:val="auto"/>
            <w:sz w:val="22"/>
            <w:szCs w:val="22"/>
            <w:u w:val="none"/>
          </w:rPr>
          <w:t>Canadian Charter of Rights and Freedoms of 1982</w:t>
        </w:r>
      </w:hyperlink>
      <w:r>
        <w:rPr>
          <w:sz w:val="22"/>
          <w:szCs w:val="22"/>
        </w:rPr>
        <w:t>, which states that the Charter itsel</w:t>
      </w:r>
      <w:r>
        <w:rPr>
          <w:sz w:val="22"/>
          <w:szCs w:val="22"/>
        </w:rPr>
        <w:t>f “shall be interpreted in a manner consistent with the preservation and enhancement of the multicultural heritage of Canadians.”</w:t>
      </w:r>
    </w:p>
    <w:p w:rsidR="00B43EDC" w:rsidRDefault="00AF2EA2">
      <w:pPr>
        <w:pStyle w:val="graf"/>
        <w:jc w:val="both"/>
      </w:pPr>
      <w:r>
        <w:rPr>
          <w:sz w:val="22"/>
          <w:szCs w:val="22"/>
        </w:rPr>
        <w:t xml:space="preserve">On 21 July 1988, the Progressive Conservative government of Brian Mulroney passed the </w:t>
      </w:r>
      <w:hyperlink r:id="rId15" w:history="1">
        <w:r>
          <w:rPr>
            <w:rStyle w:val="Hypertextovodkaz"/>
            <w:color w:val="auto"/>
            <w:sz w:val="22"/>
            <w:szCs w:val="22"/>
            <w:u w:val="none"/>
          </w:rPr>
          <w:t>Canadian Multiculturalism Act</w:t>
        </w:r>
      </w:hyperlink>
      <w:r>
        <w:rPr>
          <w:sz w:val="22"/>
          <w:szCs w:val="22"/>
        </w:rPr>
        <w:t>, which formalized the government’s commitment to “promote the full and equitable participation of individuals and communities of all origins in the continuing evolution and shaping of all a</w:t>
      </w:r>
      <w:r>
        <w:rPr>
          <w:sz w:val="22"/>
          <w:szCs w:val="22"/>
        </w:rPr>
        <w:t>spects of Canadian society” by establishing legislation to protect ethnic, racial, linguistic and religious diversity within Canadian society.</w:t>
      </w:r>
    </w:p>
    <w:p w:rsidR="00B43EDC" w:rsidRDefault="00AF2EA2">
      <w:pPr>
        <w:pStyle w:val="Nadpis3"/>
        <w:jc w:val="both"/>
        <w:rPr>
          <w:sz w:val="22"/>
          <w:szCs w:val="22"/>
        </w:rPr>
      </w:pPr>
      <w:r>
        <w:rPr>
          <w:sz w:val="22"/>
          <w:szCs w:val="22"/>
        </w:rPr>
        <w:t>A Key Factor for Success: Canada’s Immigration Policy</w:t>
      </w:r>
    </w:p>
    <w:p w:rsidR="00B43EDC" w:rsidRDefault="00AF2EA2">
      <w:pPr>
        <w:pStyle w:val="graf"/>
        <w:jc w:val="both"/>
        <w:rPr>
          <w:sz w:val="22"/>
          <w:szCs w:val="22"/>
        </w:rPr>
      </w:pPr>
      <w:r>
        <w:rPr>
          <w:sz w:val="22"/>
          <w:szCs w:val="22"/>
        </w:rPr>
        <w:t>Canada’s immigration policy sets out to attract the best sk</w:t>
      </w:r>
      <w:r>
        <w:rPr>
          <w:sz w:val="22"/>
          <w:szCs w:val="22"/>
        </w:rPr>
        <w:t>illed workers from around the globe. As such, Canada gives skilled immigrants priority to receive permanent residency, based on criteria such as their age, work experience, language ability, education and much more.</w:t>
      </w:r>
    </w:p>
    <w:p w:rsidR="00B43EDC" w:rsidRDefault="00AF2EA2">
      <w:pPr>
        <w:pStyle w:val="graf"/>
        <w:jc w:val="both"/>
      </w:pPr>
      <w:r>
        <w:rPr>
          <w:sz w:val="22"/>
          <w:szCs w:val="22"/>
        </w:rPr>
        <w:t xml:space="preserve">They list these attributes in the </w:t>
      </w:r>
      <w:hyperlink r:id="rId16" w:history="1">
        <w:r>
          <w:rPr>
            <w:rStyle w:val="Hypertextovodkaz"/>
            <w:color w:val="auto"/>
            <w:sz w:val="22"/>
            <w:szCs w:val="22"/>
            <w:u w:val="none"/>
          </w:rPr>
          <w:t>application system</w:t>
        </w:r>
      </w:hyperlink>
      <w:r>
        <w:rPr>
          <w:sz w:val="22"/>
          <w:szCs w:val="22"/>
        </w:rPr>
        <w:t xml:space="preserve"> and federal workers review their profiles and rank them based on an applicant’s chance of economic</w:t>
      </w:r>
      <w:r>
        <w:rPr>
          <w:sz w:val="22"/>
          <w:szCs w:val="22"/>
        </w:rPr>
        <w:t xml:space="preserve"> success and integration. Ranking is done with a </w:t>
      </w:r>
      <w:hyperlink r:id="rId17" w:history="1">
        <w:r>
          <w:rPr>
            <w:rStyle w:val="Hypertextovodkaz"/>
            <w:color w:val="auto"/>
            <w:sz w:val="22"/>
            <w:szCs w:val="22"/>
            <w:u w:val="none"/>
          </w:rPr>
          <w:t>Comprehensive Ranking System</w:t>
        </w:r>
      </w:hyperlink>
      <w:r>
        <w:rPr>
          <w:sz w:val="22"/>
          <w:szCs w:val="22"/>
        </w:rPr>
        <w:t>, a points based system. Canada ha</w:t>
      </w:r>
      <w:r>
        <w:rPr>
          <w:sz w:val="22"/>
          <w:szCs w:val="22"/>
        </w:rPr>
        <w:t>s had a points based system since 1967.</w:t>
      </w:r>
    </w:p>
    <w:p w:rsidR="00B43EDC" w:rsidRDefault="00AF2EA2">
      <w:pPr>
        <w:pStyle w:val="graf"/>
        <w:jc w:val="both"/>
        <w:rPr>
          <w:sz w:val="22"/>
          <w:szCs w:val="22"/>
        </w:rPr>
      </w:pPr>
      <w:r>
        <w:rPr>
          <w:sz w:val="22"/>
          <w:szCs w:val="22"/>
        </w:rPr>
        <w:t>The system awards the most points to those it considers the best candidates. People get points if they already have a job offer. They can also rack up points depending on how well they speak English and French, wheth</w:t>
      </w:r>
      <w:r>
        <w:rPr>
          <w:sz w:val="22"/>
          <w:szCs w:val="22"/>
        </w:rPr>
        <w:t>er or not they are young, and whether or not they have work experience in a high-demand field. Potential immigrants with high rankings are invited to apply for permanent residency. Upon obtaining permanent residency, he or she can sponsor a spouse and chil</w:t>
      </w:r>
      <w:r>
        <w:rPr>
          <w:sz w:val="22"/>
          <w:szCs w:val="22"/>
        </w:rPr>
        <w:t>dren to immigrant to Canada.</w:t>
      </w:r>
    </w:p>
    <w:p w:rsidR="00B43EDC" w:rsidRDefault="00AF2EA2">
      <w:pPr>
        <w:pStyle w:val="graf"/>
        <w:jc w:val="both"/>
      </w:pPr>
      <w:r>
        <w:rPr>
          <w:sz w:val="22"/>
          <w:szCs w:val="22"/>
        </w:rPr>
        <w:t xml:space="preserve">Now when the Canadian economy requires workers that </w:t>
      </w:r>
      <w:r>
        <w:rPr>
          <w:rStyle w:val="Zvraznn"/>
          <w:sz w:val="22"/>
          <w:szCs w:val="22"/>
        </w:rPr>
        <w:t>don’t</w:t>
      </w:r>
      <w:r>
        <w:rPr>
          <w:sz w:val="22"/>
          <w:szCs w:val="22"/>
        </w:rPr>
        <w:t xml:space="preserve"> meet eligibility criteria for permanent residency (fruit pickers, janitors, factory workers) both business and government draw upon the services of “temporary workers”, </w:t>
      </w:r>
      <w:r>
        <w:rPr>
          <w:sz w:val="22"/>
          <w:szCs w:val="22"/>
        </w:rPr>
        <w:t xml:space="preserve">who come to Canada under its </w:t>
      </w:r>
      <w:hyperlink r:id="rId18" w:history="1">
        <w:r>
          <w:rPr>
            <w:rStyle w:val="Hypertextovodkaz"/>
            <w:color w:val="auto"/>
            <w:sz w:val="22"/>
            <w:szCs w:val="22"/>
            <w:u w:val="none"/>
          </w:rPr>
          <w:t>Temporary Foreign Worker Program</w:t>
        </w:r>
      </w:hyperlink>
      <w:r>
        <w:rPr>
          <w:sz w:val="22"/>
          <w:szCs w:val="22"/>
        </w:rPr>
        <w:t>. Most workers under this program are limited to w</w:t>
      </w:r>
      <w:r>
        <w:rPr>
          <w:sz w:val="22"/>
          <w:szCs w:val="22"/>
        </w:rPr>
        <w:t>orking in Canada for four years before having to return to their home country. They do however, have the opportunity to apply for permanent residency status should they choose to do so.</w:t>
      </w:r>
    </w:p>
    <w:p w:rsidR="00B43EDC" w:rsidRDefault="00AF2EA2">
      <w:pPr>
        <w:pStyle w:val="graf"/>
        <w:jc w:val="both"/>
      </w:pPr>
      <w:r>
        <w:rPr>
          <w:rStyle w:val="Siln"/>
          <w:sz w:val="22"/>
          <w:szCs w:val="22"/>
        </w:rPr>
        <w:t>I cannot emphasize enough how important a merit-based immigration syst</w:t>
      </w:r>
      <w:r>
        <w:rPr>
          <w:rStyle w:val="Siln"/>
          <w:sz w:val="22"/>
          <w:szCs w:val="22"/>
        </w:rPr>
        <w:t>em has been to the success of multiculturalism in Canada</w:t>
      </w:r>
      <w:r>
        <w:rPr>
          <w:sz w:val="22"/>
          <w:szCs w:val="22"/>
        </w:rPr>
        <w:t>: it protects the wages of those at the bottom of Canadian society who don’t have to compete with the global labour market and suffer the destructive race to the bottom.</w:t>
      </w:r>
    </w:p>
    <w:p w:rsidR="00B43EDC" w:rsidRDefault="00AF2EA2">
      <w:pPr>
        <w:pStyle w:val="graf"/>
        <w:jc w:val="both"/>
        <w:rPr>
          <w:sz w:val="22"/>
          <w:szCs w:val="22"/>
        </w:rPr>
      </w:pPr>
      <w:r>
        <w:rPr>
          <w:sz w:val="22"/>
          <w:szCs w:val="22"/>
        </w:rPr>
        <w:t>In contrast, uncontrolled immi</w:t>
      </w:r>
      <w:r>
        <w:rPr>
          <w:sz w:val="22"/>
          <w:szCs w:val="22"/>
        </w:rPr>
        <w:t>gration in the United States and Europe has negatively impacted the most economically vulnerable members of those societies. This has made them susceptible to the appeals of far-right ethnic nationalists, whose political movements promise them jobs and eco</w:t>
      </w:r>
      <w:r>
        <w:rPr>
          <w:sz w:val="22"/>
          <w:szCs w:val="22"/>
        </w:rPr>
        <w:t>nomic security.</w:t>
      </w:r>
    </w:p>
    <w:p w:rsidR="00B43EDC" w:rsidRDefault="00AF2EA2">
      <w:pPr>
        <w:pStyle w:val="Nadpis3"/>
        <w:jc w:val="both"/>
        <w:rPr>
          <w:sz w:val="22"/>
          <w:szCs w:val="22"/>
        </w:rPr>
      </w:pPr>
      <w:r>
        <w:rPr>
          <w:sz w:val="22"/>
          <w:szCs w:val="22"/>
        </w:rPr>
        <w:t>A Model for the World</w:t>
      </w:r>
    </w:p>
    <w:p w:rsidR="00B43EDC" w:rsidRDefault="00AF2EA2">
      <w:pPr>
        <w:pStyle w:val="graf"/>
        <w:jc w:val="both"/>
      </w:pPr>
      <w:r>
        <w:rPr>
          <w:sz w:val="22"/>
          <w:szCs w:val="22"/>
        </w:rPr>
        <w:t xml:space="preserve">Canada’s success in integrating disparate peoples from around the globe through its policies and immigration system has been held up as a model for the world. </w:t>
      </w:r>
      <w:hyperlink r:id="rId19" w:history="1">
        <w:r>
          <w:rPr>
            <w:rStyle w:val="Hypertextovodkaz"/>
            <w:color w:val="auto"/>
            <w:sz w:val="22"/>
            <w:szCs w:val="22"/>
            <w:u w:val="none"/>
          </w:rPr>
          <w:t>Australia’s own point-based system</w:t>
        </w:r>
      </w:hyperlink>
      <w:r>
        <w:rPr>
          <w:sz w:val="22"/>
          <w:szCs w:val="22"/>
        </w:rPr>
        <w:t xml:space="preserve">, formalized in 1989, was modelled on Canada’s. And like Canada, </w:t>
      </w:r>
      <w:hyperlink r:id="rId20" w:history="1">
        <w:r>
          <w:rPr>
            <w:rStyle w:val="Hypertextovodkaz"/>
            <w:color w:val="auto"/>
            <w:sz w:val="22"/>
            <w:szCs w:val="22"/>
            <w:u w:val="none"/>
          </w:rPr>
          <w:t xml:space="preserve">Australia has become a </w:t>
        </w:r>
        <w:r>
          <w:rPr>
            <w:rStyle w:val="Zvraznn"/>
            <w:sz w:val="22"/>
            <w:szCs w:val="22"/>
          </w:rPr>
          <w:t>de facto</w:t>
        </w:r>
        <w:r>
          <w:rPr>
            <w:rStyle w:val="Hypertextovodkaz"/>
            <w:color w:val="auto"/>
            <w:sz w:val="22"/>
            <w:szCs w:val="22"/>
            <w:u w:val="none"/>
          </w:rPr>
          <w:t xml:space="preserve"> multicultural society</w:t>
        </w:r>
      </w:hyperlink>
      <w:r>
        <w:rPr>
          <w:sz w:val="22"/>
          <w:szCs w:val="22"/>
        </w:rPr>
        <w:t>.</w:t>
      </w:r>
    </w:p>
    <w:p w:rsidR="00B43EDC" w:rsidRDefault="00AF2EA2">
      <w:pPr>
        <w:pStyle w:val="graf"/>
        <w:jc w:val="both"/>
      </w:pPr>
      <w:r>
        <w:rPr>
          <w:sz w:val="22"/>
          <w:szCs w:val="22"/>
        </w:rPr>
        <w:lastRenderedPageBreak/>
        <w:t xml:space="preserve">More recently, </w:t>
      </w:r>
      <w:hyperlink r:id="rId21" w:history="1">
        <w:r>
          <w:rPr>
            <w:rStyle w:val="Hypertextovodkaz"/>
            <w:color w:val="auto"/>
            <w:sz w:val="22"/>
            <w:szCs w:val="22"/>
            <w:u w:val="none"/>
          </w:rPr>
          <w:t xml:space="preserve">several Scandinavian countries have </w:t>
        </w:r>
        <w:r>
          <w:rPr>
            <w:rStyle w:val="Hypertextovodkaz"/>
            <w:color w:val="auto"/>
            <w:sz w:val="22"/>
            <w:szCs w:val="22"/>
            <w:u w:val="none"/>
          </w:rPr>
          <w:t>emulated Canada’s immigration and integration policies</w:t>
        </w:r>
      </w:hyperlink>
      <w:r>
        <w:rPr>
          <w:sz w:val="22"/>
          <w:szCs w:val="22"/>
        </w:rPr>
        <w:t xml:space="preserve"> to deal with </w:t>
      </w:r>
      <w:hyperlink r:id="rId22" w:history="1">
        <w:r>
          <w:rPr>
            <w:rStyle w:val="Hypertextovodkaz"/>
            <w:color w:val="auto"/>
            <w:sz w:val="22"/>
            <w:szCs w:val="22"/>
            <w:u w:val="none"/>
          </w:rPr>
          <w:t>social problems</w:t>
        </w:r>
      </w:hyperlink>
      <w:r>
        <w:rPr>
          <w:sz w:val="22"/>
          <w:szCs w:val="22"/>
        </w:rPr>
        <w:t xml:space="preserve"> within immigrant communities. It has been held up as an </w:t>
      </w:r>
      <w:r>
        <w:rPr>
          <w:sz w:val="22"/>
          <w:szCs w:val="22"/>
        </w:rPr>
        <w:t xml:space="preserve">alternative to humanitarian and family migrants, which has </w:t>
      </w:r>
      <w:hyperlink r:id="rId23" w:history="1">
        <w:r>
          <w:rPr>
            <w:rStyle w:val="Hypertextovodkaz"/>
            <w:color w:val="auto"/>
            <w:sz w:val="22"/>
            <w:szCs w:val="22"/>
            <w:u w:val="none"/>
          </w:rPr>
          <w:t>contributed to a significant immigrant-native employment gap in Scandinavia</w:t>
        </w:r>
      </w:hyperlink>
      <w:r>
        <w:rPr>
          <w:sz w:val="22"/>
          <w:szCs w:val="22"/>
        </w:rPr>
        <w:t>.</w:t>
      </w:r>
    </w:p>
    <w:p w:rsidR="00B43EDC" w:rsidRDefault="00AF2EA2">
      <w:pPr>
        <w:pStyle w:val="graf"/>
        <w:jc w:val="both"/>
      </w:pPr>
      <w:r>
        <w:rPr>
          <w:sz w:val="22"/>
          <w:szCs w:val="22"/>
        </w:rPr>
        <w:t>Final</w:t>
      </w:r>
      <w:r>
        <w:rPr>
          <w:sz w:val="22"/>
          <w:szCs w:val="22"/>
        </w:rPr>
        <w:t xml:space="preserve">ly, the Trump administration has expressed great interest in </w:t>
      </w:r>
      <w:hyperlink r:id="rId24" w:history="1">
        <w:r>
          <w:rPr>
            <w:rStyle w:val="Hypertextovodkaz"/>
            <w:color w:val="auto"/>
            <w:sz w:val="22"/>
            <w:szCs w:val="22"/>
            <w:u w:val="none"/>
          </w:rPr>
          <w:t>reforming its immigration system to emulate Canada’s, giving prio</w:t>
        </w:r>
        <w:r>
          <w:rPr>
            <w:rStyle w:val="Hypertextovodkaz"/>
            <w:color w:val="auto"/>
            <w:sz w:val="22"/>
            <w:szCs w:val="22"/>
            <w:u w:val="none"/>
          </w:rPr>
          <w:t>rity to skilled workers</w:t>
        </w:r>
      </w:hyperlink>
      <w:r>
        <w:rPr>
          <w:sz w:val="22"/>
          <w:szCs w:val="22"/>
        </w:rPr>
        <w:t>.</w:t>
      </w:r>
    </w:p>
    <w:p w:rsidR="00B43EDC" w:rsidRDefault="00AF2EA2">
      <w:r>
        <w:rPr>
          <w:rFonts w:ascii="Times New Roman" w:eastAsia="Times New Roman" w:hAnsi="Times New Roman"/>
          <w:bCs/>
          <w:kern w:val="3"/>
          <w:lang w:eastAsia="cs-CZ"/>
        </w:rPr>
        <w:t xml:space="preserve">Source: Fong, V.: 2018. Why does multiculturalism work in Canada? </w:t>
      </w:r>
      <w:r>
        <w:rPr>
          <w:rFonts w:ascii="Times New Roman" w:eastAsia="Times New Roman" w:hAnsi="Times New Roman"/>
          <w:bCs/>
          <w:i/>
          <w:kern w:val="3"/>
          <w:lang w:eastAsia="cs-CZ"/>
        </w:rPr>
        <w:t>Medium.</w:t>
      </w:r>
      <w:r>
        <w:rPr>
          <w:rFonts w:ascii="Times New Roman" w:eastAsia="Times New Roman" w:hAnsi="Times New Roman"/>
          <w:bCs/>
          <w:kern w:val="3"/>
          <w:lang w:eastAsia="cs-CZ"/>
        </w:rPr>
        <w:t xml:space="preserve"> Available at: https://medium.com/the-torontonian/why-does-multiculturalism-work-in-canada-d52ac4e23747. </w:t>
      </w:r>
    </w:p>
    <w:p w:rsidR="00B43EDC" w:rsidRDefault="00B43EDC">
      <w:pPr>
        <w:rPr>
          <w:rFonts w:ascii="Times New Roman" w:eastAsia="Times New Roman" w:hAnsi="Times New Roman"/>
          <w:bCs/>
          <w:kern w:val="3"/>
          <w:lang w:eastAsia="cs-CZ"/>
        </w:rPr>
      </w:pPr>
    </w:p>
    <w:p w:rsidR="00B43EDC" w:rsidRDefault="00AF2EA2">
      <w:pPr>
        <w:rPr>
          <w:rFonts w:ascii="Times New Roman" w:eastAsia="Times New Roman" w:hAnsi="Times New Roman"/>
          <w:bCs/>
          <w:kern w:val="3"/>
          <w:lang w:eastAsia="cs-CZ"/>
        </w:rPr>
      </w:pPr>
      <w:r>
        <w:rPr>
          <w:rFonts w:ascii="Times New Roman" w:eastAsia="Times New Roman" w:hAnsi="Times New Roman"/>
          <w:bCs/>
          <w:kern w:val="3"/>
          <w:lang w:eastAsia="cs-CZ"/>
        </w:rPr>
        <w:t>Follow-up tasks:</w:t>
      </w:r>
    </w:p>
    <w:p w:rsidR="00B43EDC" w:rsidRDefault="00AF2EA2">
      <w:pPr>
        <w:rPr>
          <w:rFonts w:ascii="Times New Roman" w:eastAsia="Times New Roman" w:hAnsi="Times New Roman"/>
          <w:bCs/>
          <w:kern w:val="3"/>
          <w:lang w:eastAsia="cs-CZ"/>
        </w:rPr>
      </w:pPr>
      <w:r>
        <w:rPr>
          <w:rFonts w:ascii="Times New Roman" w:eastAsia="Times New Roman" w:hAnsi="Times New Roman"/>
          <w:bCs/>
          <w:kern w:val="3"/>
          <w:lang w:eastAsia="cs-CZ"/>
        </w:rPr>
        <w:t>1. Try to characterize multicultur</w:t>
      </w:r>
      <w:r>
        <w:rPr>
          <w:rFonts w:ascii="Times New Roman" w:eastAsia="Times New Roman" w:hAnsi="Times New Roman"/>
          <w:bCs/>
          <w:kern w:val="3"/>
          <w:lang w:eastAsia="cs-CZ"/>
        </w:rPr>
        <w:t>alism in your own words. Which European countries have also struggled with it?</w:t>
      </w:r>
    </w:p>
    <w:p w:rsidR="00B43EDC" w:rsidRDefault="00AF2EA2">
      <w:pPr>
        <w:rPr>
          <w:rFonts w:ascii="Times New Roman" w:eastAsia="Times New Roman" w:hAnsi="Times New Roman"/>
          <w:bCs/>
          <w:kern w:val="3"/>
          <w:lang w:eastAsia="cs-CZ"/>
        </w:rPr>
      </w:pPr>
      <w:r>
        <w:rPr>
          <w:rFonts w:ascii="Times New Roman" w:eastAsia="Times New Roman" w:hAnsi="Times New Roman"/>
          <w:bCs/>
          <w:kern w:val="3"/>
          <w:lang w:eastAsia="cs-CZ"/>
        </w:rPr>
        <w:t>2. What makes Canada so unique and why does multiculturalism somehow work there?</w:t>
      </w:r>
    </w:p>
    <w:p w:rsidR="00B43EDC" w:rsidRDefault="00B43EDC">
      <w:pPr>
        <w:rPr>
          <w:rFonts w:ascii="Times New Roman" w:eastAsia="Times New Roman" w:hAnsi="Times New Roman"/>
          <w:bCs/>
          <w:kern w:val="3"/>
          <w:lang w:eastAsia="cs-CZ"/>
        </w:rPr>
      </w:pPr>
    </w:p>
    <w:p w:rsidR="00B43EDC" w:rsidRDefault="00B43EDC">
      <w:pPr>
        <w:pageBreakBefore/>
        <w:rPr>
          <w:rFonts w:ascii="Times New Roman" w:eastAsia="Times New Roman" w:hAnsi="Times New Roman"/>
          <w:b/>
          <w:bCs/>
          <w:kern w:val="3"/>
          <w:lang w:eastAsia="cs-CZ"/>
        </w:rPr>
      </w:pPr>
    </w:p>
    <w:p w:rsidR="00B43EDC" w:rsidRDefault="00AF2EA2">
      <w:pPr>
        <w:spacing w:before="100" w:after="100" w:line="240" w:lineRule="auto"/>
        <w:jc w:val="center"/>
        <w:rPr>
          <w:rFonts w:ascii="Times New Roman" w:eastAsia="Times New Roman" w:hAnsi="Times New Roman"/>
          <w:b/>
          <w:bCs/>
          <w:kern w:val="3"/>
          <w:lang w:eastAsia="cs-CZ"/>
        </w:rPr>
      </w:pPr>
      <w:r>
        <w:rPr>
          <w:rFonts w:ascii="Times New Roman" w:eastAsia="Times New Roman" w:hAnsi="Times New Roman"/>
          <w:b/>
          <w:bCs/>
          <w:kern w:val="3"/>
          <w:lang w:eastAsia="cs-CZ"/>
        </w:rPr>
        <w:t>For Glenn Gould, Form Followed Fingers</w:t>
      </w:r>
    </w:p>
    <w:p w:rsidR="00B43EDC" w:rsidRDefault="00AF2EA2">
      <w:pPr>
        <w:spacing w:before="100" w:after="100" w:line="240" w:lineRule="auto"/>
        <w:jc w:val="both"/>
      </w:pPr>
      <w:r>
        <w:rPr>
          <w:rFonts w:ascii="Times New Roman" w:eastAsia="Times New Roman" w:hAnsi="Times New Roman"/>
          <w:lang w:eastAsia="cs-CZ"/>
        </w:rPr>
        <w:t xml:space="preserve">EVEN to his most passionate admirers, the phenomenally </w:t>
      </w:r>
      <w:r>
        <w:rPr>
          <w:rFonts w:ascii="Times New Roman" w:eastAsia="Times New Roman" w:hAnsi="Times New Roman"/>
          <w:lang w:eastAsia="cs-CZ"/>
        </w:rPr>
        <w:t xml:space="preserve">gifted if wildly unconventional pianist </w:t>
      </w:r>
      <w:hyperlink r:id="rId25" w:tooltip="More articles about Glenn Gould" w:history="1">
        <w:r>
          <w:rPr>
            <w:rFonts w:ascii="Times New Roman" w:eastAsia="Times New Roman" w:hAnsi="Times New Roman"/>
            <w:lang w:eastAsia="cs-CZ"/>
          </w:rPr>
          <w:t>Glenn Gould</w:t>
        </w:r>
      </w:hyperlink>
      <w:r>
        <w:rPr>
          <w:rFonts w:ascii="Times New Roman" w:eastAsia="Times New Roman" w:hAnsi="Times New Roman"/>
          <w:lang w:eastAsia="cs-CZ"/>
        </w:rPr>
        <w:t xml:space="preserve"> was a tangle of personal tics and complexes. Someti</w:t>
      </w:r>
      <w:r>
        <w:rPr>
          <w:rFonts w:ascii="Times New Roman" w:eastAsia="Times New Roman" w:hAnsi="Times New Roman"/>
          <w:lang w:eastAsia="cs-CZ"/>
        </w:rPr>
        <w:t>mes he seemed a provocateur bent on riling the public with extreme interpretations and odd behavior. Other times he came across as a fragile, fearful man, at ease only when making music.</w:t>
      </w:r>
    </w:p>
    <w:p w:rsidR="00B43EDC" w:rsidRDefault="00AF2EA2">
      <w:pPr>
        <w:spacing w:before="100" w:after="100" w:line="240" w:lineRule="auto"/>
        <w:jc w:val="both"/>
      </w:pPr>
      <w:r>
        <w:rPr>
          <w:rFonts w:ascii="Times New Roman" w:eastAsia="Times New Roman" w:hAnsi="Times New Roman"/>
          <w:lang w:eastAsia="cs-CZ"/>
        </w:rPr>
        <w:t xml:space="preserve">“Genius Within: The Inner Life of Glenn Gould,” the </w:t>
      </w:r>
      <w:hyperlink r:id="rId26" w:tooltip="New York Times article on the film." w:history="1">
        <w:r>
          <w:rPr>
            <w:rFonts w:ascii="Times New Roman" w:eastAsia="Times New Roman" w:hAnsi="Times New Roman"/>
            <w:lang w:eastAsia="cs-CZ"/>
          </w:rPr>
          <w:t>fascinating new documentary</w:t>
        </w:r>
      </w:hyperlink>
      <w:r>
        <w:rPr>
          <w:rFonts w:ascii="Times New Roman" w:eastAsia="Times New Roman" w:hAnsi="Times New Roman"/>
          <w:lang w:eastAsia="cs-CZ"/>
        </w:rPr>
        <w:t xml:space="preserve"> by the Canadian filmmakers Peter Raymont and Michèle Hozer, </w:t>
      </w:r>
      <w:hyperlink r:id="rId27" w:tooltip="New York Times review of the film." w:history="1">
        <w:r>
          <w:rPr>
            <w:rFonts w:ascii="Times New Roman" w:eastAsia="Times New Roman" w:hAnsi="Times New Roman"/>
            <w:lang w:eastAsia="cs-CZ"/>
          </w:rPr>
          <w:t>has won praise</w:t>
        </w:r>
      </w:hyperlink>
      <w:r>
        <w:rPr>
          <w:rFonts w:ascii="Times New Roman" w:eastAsia="Times New Roman" w:hAnsi="Times New Roman"/>
          <w:lang w:eastAsia="cs-CZ"/>
        </w:rPr>
        <w:t xml:space="preserve"> for providing insights into Gould’s eccentric character. It shows the sad progression of a brilliant, garrulous musician with a fiercely original artistic vision as he becomes increasingly obsessive </w:t>
      </w:r>
      <w:r>
        <w:rPr>
          <w:rFonts w:ascii="Times New Roman" w:eastAsia="Times New Roman" w:hAnsi="Times New Roman"/>
          <w:lang w:eastAsia="cs-CZ"/>
        </w:rPr>
        <w:t>and isolated. Yet it also provides valuable insights into the inner workings of Gould’s distinctive technique and unorthodox interpretive approach.</w:t>
      </w:r>
    </w:p>
    <w:p w:rsidR="00B43EDC" w:rsidRDefault="00AF2EA2">
      <w:pPr>
        <w:spacing w:before="100" w:after="100" w:line="240" w:lineRule="auto"/>
        <w:jc w:val="both"/>
      </w:pPr>
      <w:r>
        <w:rPr>
          <w:rFonts w:ascii="Times New Roman" w:eastAsia="Times New Roman" w:hAnsi="Times New Roman"/>
          <w:lang w:eastAsia="cs-CZ"/>
        </w:rPr>
        <w:t>In his chosen repertory, especially Bach, Gould played with uncanny clarity and brought seemingly impossible</w:t>
      </w:r>
      <w:r>
        <w:rPr>
          <w:rFonts w:ascii="Times New Roman" w:eastAsia="Times New Roman" w:hAnsi="Times New Roman"/>
          <w:lang w:eastAsia="cs-CZ"/>
        </w:rPr>
        <w:t xml:space="preserve"> independence to individual voices. Though Gould was drawn to Baroque music and instinctively cultivated lucid musical textures, the film reveals the extent to which his principal teacher, the Chilean-born pianist </w:t>
      </w:r>
      <w:hyperlink r:id="rId28" w:tooltip="Canadian Encyclopedia entry on Guerrero." w:history="1">
        <w:r>
          <w:rPr>
            <w:rFonts w:ascii="Times New Roman" w:eastAsia="Times New Roman" w:hAnsi="Times New Roman"/>
            <w:lang w:eastAsia="cs-CZ"/>
          </w:rPr>
          <w:t>Alberto Guerrero</w:t>
        </w:r>
      </w:hyperlink>
      <w:r>
        <w:rPr>
          <w:rFonts w:ascii="Times New Roman" w:eastAsia="Times New Roman" w:hAnsi="Times New Roman"/>
          <w:lang w:eastAsia="cs-CZ"/>
        </w:rPr>
        <w:t>, imparted skills that maximized clarity.</w:t>
      </w:r>
    </w:p>
    <w:p w:rsidR="00B43EDC" w:rsidRDefault="00AF2EA2">
      <w:pPr>
        <w:spacing w:before="100" w:after="100" w:line="240" w:lineRule="auto"/>
        <w:jc w:val="both"/>
        <w:rPr>
          <w:rFonts w:ascii="Times New Roman" w:eastAsia="Times New Roman" w:hAnsi="Times New Roman"/>
          <w:lang w:eastAsia="cs-CZ"/>
        </w:rPr>
      </w:pPr>
      <w:r>
        <w:rPr>
          <w:rFonts w:ascii="Times New Roman" w:eastAsia="Times New Roman" w:hAnsi="Times New Roman"/>
          <w:lang w:eastAsia="cs-CZ"/>
        </w:rPr>
        <w:t xml:space="preserve">An only child, Gould studied piano with his mother until, </w:t>
      </w:r>
      <w:r>
        <w:rPr>
          <w:rFonts w:ascii="Times New Roman" w:eastAsia="Times New Roman" w:hAnsi="Times New Roman"/>
          <w:lang w:eastAsia="cs-CZ"/>
        </w:rPr>
        <w:t>at 11, he began lessons with Guerrero at the Toronto Conservatory. By the time he turned 20 he had set out on his own.</w:t>
      </w:r>
    </w:p>
    <w:p w:rsidR="00B43EDC" w:rsidRDefault="00AF2EA2">
      <w:pPr>
        <w:spacing w:before="100" w:after="100" w:line="240" w:lineRule="auto"/>
        <w:jc w:val="both"/>
        <w:rPr>
          <w:rFonts w:ascii="Times New Roman" w:eastAsia="Times New Roman" w:hAnsi="Times New Roman"/>
          <w:lang w:eastAsia="cs-CZ"/>
        </w:rPr>
      </w:pPr>
      <w:r>
        <w:rPr>
          <w:rFonts w:ascii="Times New Roman" w:eastAsia="Times New Roman" w:hAnsi="Times New Roman"/>
          <w:lang w:eastAsia="cs-CZ"/>
        </w:rPr>
        <w:t>Guerrero was an advocate of a technical discipline known as finger tapping. Apparently, the idea came to him while watching a young boy d</w:t>
      </w:r>
      <w:r>
        <w:rPr>
          <w:rFonts w:ascii="Times New Roman" w:eastAsia="Times New Roman" w:hAnsi="Times New Roman"/>
          <w:lang w:eastAsia="cs-CZ"/>
        </w:rPr>
        <w:t>ancing in a Chinese circus. Guerrero spoke to the boy’s trainer, who demonstrated his teaching routine: he moved the child’s passive limbs into the desired positions, which the boy would then replicate, trying to maintain the feeling of relaxation.</w:t>
      </w:r>
    </w:p>
    <w:p w:rsidR="00B43EDC" w:rsidRDefault="00AF2EA2">
      <w:pPr>
        <w:spacing w:before="100" w:after="100" w:line="240" w:lineRule="auto"/>
        <w:jc w:val="both"/>
      </w:pPr>
      <w:r>
        <w:rPr>
          <w:rFonts w:ascii="Times New Roman" w:eastAsia="Times New Roman" w:hAnsi="Times New Roman"/>
          <w:lang w:eastAsia="cs-CZ"/>
        </w:rPr>
        <w:t>Adaptin</w:t>
      </w:r>
      <w:r>
        <w:rPr>
          <w:rFonts w:ascii="Times New Roman" w:eastAsia="Times New Roman" w:hAnsi="Times New Roman"/>
          <w:lang w:eastAsia="cs-CZ"/>
        </w:rPr>
        <w:t>g the technique to the piano, Guerrero taught his students to hold one hand in a relaxed position on the keyboard, lightly touching the keys. With the other hand, the student would tap a fingertip enough to depress the desired key. The mechanical action of</w:t>
      </w:r>
      <w:r>
        <w:rPr>
          <w:rFonts w:ascii="Times New Roman" w:eastAsia="Times New Roman" w:hAnsi="Times New Roman"/>
          <w:lang w:eastAsia="cs-CZ"/>
        </w:rPr>
        <w:t xml:space="preserve"> the key springing up would lift the finger back into place. The idea was to teach the fingers to play with a minimum of effort and no excess lift. This practice routine is demonstrated in the film by Gould’s friend Ruth Watson Henderson, also a Guerrero s</w:t>
      </w:r>
      <w:r>
        <w:rPr>
          <w:rFonts w:ascii="Times New Roman" w:eastAsia="Times New Roman" w:hAnsi="Times New Roman"/>
          <w:lang w:eastAsia="cs-CZ"/>
        </w:rPr>
        <w:t>tudent. Like Gould, Guerrero sat low to the ground, though not as low as Gould, whose preferred chair was just 13 inches high.</w:t>
      </w:r>
      <w:r w:rsidR="00B43EDC" w:rsidRPr="00B43EDC">
        <w:rPr>
          <w:rFonts w:ascii="Times New Roman" w:eastAsia="Times New Roman" w:hAnsi="Times New Roman"/>
          <w:lang w:eastAsia="cs-CZ"/>
        </w:rPr>
      </w:r>
      <w:r w:rsidR="00B43EDC">
        <w:rPr>
          <w:rFonts w:ascii="Times New Roman" w:eastAsia="Times New Roman" w:hAnsi="Times New Roman"/>
          <w:lang w:eastAsia="cs-CZ"/>
        </w:rPr>
        <w:pict>
          <v:rect id="Obdélník 2" o:spid="_x0000_s1026" alt="https://static01.nyt.com/images/2010/09/26/arts/GOULD-1/GOULD-1-popup.jpg" style="width:23.85pt;height:23.85pt;visibility:visible;mso-position-horizontal-relative:char;mso-position-vertical-relative:line" filled="f" stroked="f">
            <v:textbox style="mso-rotate-with-shape:t" inset="0,0,0,0"/>
            <w10:wrap type="none"/>
            <w10:anchorlock/>
          </v:rect>
        </w:pict>
      </w:r>
    </w:p>
    <w:p w:rsidR="00B43EDC" w:rsidRDefault="00AF2EA2">
      <w:pPr>
        <w:spacing w:before="100" w:after="100" w:line="240" w:lineRule="auto"/>
        <w:jc w:val="both"/>
        <w:rPr>
          <w:rFonts w:ascii="Times New Roman" w:eastAsia="Times New Roman" w:hAnsi="Times New Roman"/>
          <w:lang w:eastAsia="cs-CZ"/>
        </w:rPr>
      </w:pPr>
      <w:r>
        <w:rPr>
          <w:rFonts w:ascii="Times New Roman" w:eastAsia="Times New Roman" w:hAnsi="Times New Roman"/>
          <w:lang w:eastAsia="cs-CZ"/>
        </w:rPr>
        <w:t>There are as many approaches to piano technique as there are to Ma</w:t>
      </w:r>
      <w:r>
        <w:rPr>
          <w:rFonts w:ascii="Times New Roman" w:eastAsia="Times New Roman" w:hAnsi="Times New Roman"/>
          <w:lang w:eastAsia="cs-CZ"/>
        </w:rPr>
        <w:t xml:space="preserve">jor League pitching, including some that emphasize lifting the fingers off the keys. Guerrero’s regimen certainly worked for Gould, as is clear from the arresting segments in this documentary that show him close up, playing — Bach’s “Goldberg Variations,” </w:t>
      </w:r>
      <w:r>
        <w:rPr>
          <w:rFonts w:ascii="Times New Roman" w:eastAsia="Times New Roman" w:hAnsi="Times New Roman"/>
          <w:lang w:eastAsia="cs-CZ"/>
        </w:rPr>
        <w:t>Bach’s D minor Keyboard Concerto, Beethoven’s Second Piano Concerto live on tour in the Soviet Union in 1957 — always with pristine clarity and effortlessness, no matter how breathless the tempos.</w:t>
      </w:r>
    </w:p>
    <w:p w:rsidR="00B43EDC" w:rsidRDefault="00AF2EA2">
      <w:pPr>
        <w:spacing w:before="100" w:after="100" w:line="240" w:lineRule="auto"/>
        <w:jc w:val="both"/>
        <w:rPr>
          <w:rFonts w:ascii="Times New Roman" w:eastAsia="Times New Roman" w:hAnsi="Times New Roman"/>
          <w:lang w:eastAsia="cs-CZ"/>
        </w:rPr>
      </w:pPr>
      <w:r>
        <w:rPr>
          <w:rFonts w:ascii="Times New Roman" w:eastAsia="Times New Roman" w:hAnsi="Times New Roman"/>
          <w:lang w:eastAsia="cs-CZ"/>
        </w:rPr>
        <w:t>Gould’s finger-oriented technique explains, in part, why he</w:t>
      </w:r>
      <w:r>
        <w:rPr>
          <w:rFonts w:ascii="Times New Roman" w:eastAsia="Times New Roman" w:hAnsi="Times New Roman"/>
          <w:lang w:eastAsia="cs-CZ"/>
        </w:rPr>
        <w:t xml:space="preserve"> sat so low, though he was a gangly man. In this crouched posture, with his hands reaching up to the keyboard, his fingers do everything. Yet you cannot play the piano, at least the brawny works of Liszt and company, with just your fingers. Your arms, shou</w:t>
      </w:r>
      <w:r>
        <w:rPr>
          <w:rFonts w:ascii="Times New Roman" w:eastAsia="Times New Roman" w:hAnsi="Times New Roman"/>
          <w:lang w:eastAsia="cs-CZ"/>
        </w:rPr>
        <w:t>lders and back — even your feet (to provide support during fortissimo chords) — must get into act as well. There are techniques that teach pianists to drop loose arms, almost like dead weights, into thick chords, to let body mass fortify the sound.</w:t>
      </w:r>
    </w:p>
    <w:p w:rsidR="00B43EDC" w:rsidRDefault="00AF2EA2">
      <w:pPr>
        <w:spacing w:before="100" w:after="100" w:line="240" w:lineRule="auto"/>
        <w:jc w:val="both"/>
        <w:rPr>
          <w:rFonts w:ascii="Times New Roman" w:eastAsia="Times New Roman" w:hAnsi="Times New Roman"/>
          <w:lang w:eastAsia="cs-CZ"/>
        </w:rPr>
      </w:pPr>
      <w:r>
        <w:rPr>
          <w:rFonts w:ascii="Times New Roman" w:eastAsia="Times New Roman" w:hAnsi="Times New Roman"/>
          <w:lang w:eastAsia="cs-CZ"/>
        </w:rPr>
        <w:t>That Go</w:t>
      </w:r>
      <w:r>
        <w:rPr>
          <w:rFonts w:ascii="Times New Roman" w:eastAsia="Times New Roman" w:hAnsi="Times New Roman"/>
          <w:lang w:eastAsia="cs-CZ"/>
        </w:rPr>
        <w:t>uld’s astonishing playing lacked this bodily dimension comes through in the film, in a segment about his performance of Brahms’s D minor Concerto with Leonard Bernstein and the New York Philharmonic in 1962. Bernstein received criticism at the time for pre</w:t>
      </w:r>
      <w:r>
        <w:rPr>
          <w:rFonts w:ascii="Times New Roman" w:eastAsia="Times New Roman" w:hAnsi="Times New Roman"/>
          <w:lang w:eastAsia="cs-CZ"/>
        </w:rPr>
        <w:t>performance remarks to the audience in which he issued a disclaimer.</w:t>
      </w:r>
    </w:p>
    <w:p w:rsidR="00B43EDC" w:rsidRDefault="00AF2EA2">
      <w:pPr>
        <w:spacing w:before="100" w:after="100" w:line="240" w:lineRule="auto"/>
        <w:jc w:val="both"/>
        <w:rPr>
          <w:rFonts w:ascii="Times New Roman" w:eastAsia="Times New Roman" w:hAnsi="Times New Roman"/>
          <w:lang w:eastAsia="cs-CZ"/>
        </w:rPr>
      </w:pPr>
      <w:r>
        <w:rPr>
          <w:rFonts w:ascii="Times New Roman" w:eastAsia="Times New Roman" w:hAnsi="Times New Roman"/>
          <w:lang w:eastAsia="cs-CZ"/>
        </w:rPr>
        <w:t>“You are about to hear a rather, shall we say, unorthodox performance of the Brahms D minor Concerto,” Bernstein began, “a performance distinctly different from any I’ve ever heard, or ev</w:t>
      </w:r>
      <w:r>
        <w:rPr>
          <w:rFonts w:ascii="Times New Roman" w:eastAsia="Times New Roman" w:hAnsi="Times New Roman"/>
          <w:lang w:eastAsia="cs-CZ"/>
        </w:rPr>
        <w:t>en dreamt of for that matter, in its remarkably broad tempi and its frequent departures from Brahms’s dynamic indications.”</w:t>
      </w:r>
    </w:p>
    <w:p w:rsidR="00B43EDC" w:rsidRDefault="00AF2EA2">
      <w:pPr>
        <w:spacing w:before="100" w:after="100" w:line="240" w:lineRule="auto"/>
        <w:jc w:val="both"/>
      </w:pPr>
      <w:r>
        <w:rPr>
          <w:rFonts w:ascii="Times New Roman" w:eastAsia="Times New Roman" w:hAnsi="Times New Roman"/>
          <w:lang w:eastAsia="cs-CZ"/>
        </w:rPr>
        <w:lastRenderedPageBreak/>
        <w:t>Bernstein then spoke about collaboration. Usually, a conductor and a soloist with interpretive discrepancies manage to “get together</w:t>
      </w:r>
      <w:r>
        <w:rPr>
          <w:rFonts w:ascii="Times New Roman" w:eastAsia="Times New Roman" w:hAnsi="Times New Roman"/>
          <w:lang w:eastAsia="cs-CZ"/>
        </w:rPr>
        <w:t xml:space="preserve"> by persuasion or charm or even threats to achieve a unified performance,” he said. But in this case the disagreements were so great, he explained, that he had to make clear he was deferring to Gould. He emphasized, though, that there “are moments in Mr. G</w:t>
      </w:r>
      <w:r>
        <w:rPr>
          <w:rFonts w:ascii="Times New Roman" w:eastAsia="Times New Roman" w:hAnsi="Times New Roman"/>
          <w:lang w:eastAsia="cs-CZ"/>
        </w:rPr>
        <w:t xml:space="preserve">ould’s performance that emerge with astonishing freshness and conviction.” (When you hear those </w:t>
      </w:r>
      <w:hyperlink r:id="rId29" w:tooltip="Bernstein’s comments" w:history="1">
        <w:r>
          <w:rPr>
            <w:rFonts w:ascii="Times New Roman" w:eastAsia="Times New Roman" w:hAnsi="Times New Roman"/>
            <w:lang w:eastAsia="cs-CZ"/>
          </w:rPr>
          <w:t>comments</w:t>
        </w:r>
      </w:hyperlink>
      <w:r>
        <w:rPr>
          <w:rFonts w:ascii="Times New Roman" w:eastAsia="Times New Roman" w:hAnsi="Times New Roman"/>
          <w:lang w:eastAsia="cs-CZ"/>
        </w:rPr>
        <w:t xml:space="preserve"> today — in the film or on the Sony live recording — Bernstein com</w:t>
      </w:r>
      <w:r>
        <w:rPr>
          <w:rFonts w:ascii="Times New Roman" w:eastAsia="Times New Roman" w:hAnsi="Times New Roman"/>
          <w:lang w:eastAsia="cs-CZ"/>
        </w:rPr>
        <w:t>es across as tactful and sincere.)</w:t>
      </w:r>
    </w:p>
    <w:p w:rsidR="00B43EDC" w:rsidRDefault="00AF2EA2">
      <w:pPr>
        <w:spacing w:before="100" w:after="100" w:line="240" w:lineRule="auto"/>
        <w:jc w:val="both"/>
      </w:pPr>
      <w:r>
        <w:rPr>
          <w:rFonts w:ascii="Times New Roman" w:eastAsia="Times New Roman" w:hAnsi="Times New Roman"/>
          <w:lang w:eastAsia="cs-CZ"/>
        </w:rPr>
        <w:t xml:space="preserve">The tempos in </w:t>
      </w:r>
      <w:hyperlink r:id="rId30" w:tooltip="YouTube audio of the opening of the Gould-Bernstein Brahms performance." w:history="1">
        <w:r>
          <w:rPr>
            <w:rFonts w:ascii="Times New Roman" w:eastAsia="Times New Roman" w:hAnsi="Times New Roman"/>
            <w:lang w:eastAsia="cs-CZ"/>
          </w:rPr>
          <w:t>this performance</w:t>
        </w:r>
      </w:hyperlink>
      <w:r>
        <w:rPr>
          <w:rFonts w:ascii="Times New Roman" w:eastAsia="Times New Roman" w:hAnsi="Times New Roman"/>
          <w:lang w:eastAsia="cs-CZ"/>
        </w:rPr>
        <w:t xml:space="preserve"> are fairly broad. Yet 21 years later, Bernstein condu</w:t>
      </w:r>
      <w:r>
        <w:rPr>
          <w:rFonts w:ascii="Times New Roman" w:eastAsia="Times New Roman" w:hAnsi="Times New Roman"/>
          <w:lang w:eastAsia="cs-CZ"/>
        </w:rPr>
        <w:t>cted a magnificent live performance of the Brahms D minor with a pianist he loved working with, Krystian Zimerman, and the Vienna Philharmonic (available on CD and DVD from Deutsche Grammophon). That one clocks in only slightly longer (just over 54 minutes</w:t>
      </w:r>
      <w:r>
        <w:rPr>
          <w:rFonts w:ascii="Times New Roman" w:eastAsia="Times New Roman" w:hAnsi="Times New Roman"/>
          <w:lang w:eastAsia="cs-CZ"/>
        </w:rPr>
        <w:t>) than the Gould-Bernstein account (just over 53)</w:t>
      </w:r>
      <w:r w:rsidR="00B43EDC" w:rsidRPr="00B43EDC">
        <w:rPr>
          <w:rFonts w:ascii="Times New Roman" w:eastAsia="Times New Roman" w:hAnsi="Times New Roman"/>
          <w:lang w:eastAsia="cs-CZ"/>
        </w:rPr>
      </w:r>
      <w:r w:rsidR="00B43EDC">
        <w:rPr>
          <w:rFonts w:ascii="Times New Roman" w:eastAsia="Times New Roman" w:hAnsi="Times New Roman"/>
          <w:lang w:eastAsia="cs-CZ"/>
        </w:rPr>
        <w:pict>
          <v:rect id="Obdélník 1" o:spid="_x0000_s1027" alt="https://static01.nyt.com/images/2010/09/26/arts/GOULD-2/GOULD-2-jumbo.jpg" style="width:23.85pt;height:23.85pt;visibility:visible;mso-position-horizontal-relative:char;mso-position-vertical-relative:line" filled="f" stroked="f">
            <v:textbox style="mso-rotate-with-shape:t" inset="0,0,0,0"/>
            <w10:wrap type="none"/>
            <w10:anchorlock/>
          </v:rect>
        </w:pict>
      </w:r>
    </w:p>
    <w:p w:rsidR="00B43EDC" w:rsidRDefault="00AF2EA2">
      <w:pPr>
        <w:spacing w:after="0" w:line="240" w:lineRule="auto"/>
        <w:jc w:val="both"/>
        <w:rPr>
          <w:rFonts w:ascii="Times New Roman" w:eastAsia="Times New Roman" w:hAnsi="Times New Roman"/>
          <w:lang w:eastAsia="cs-CZ"/>
        </w:rPr>
      </w:pPr>
      <w:r>
        <w:rPr>
          <w:rFonts w:ascii="Times New Roman" w:eastAsia="Times New Roman" w:hAnsi="Times New Roman"/>
          <w:lang w:eastAsia="cs-CZ"/>
        </w:rPr>
        <w:t>Mr. Gould in a photograph that shows his unusual posture at the piano. His technique, much of it imparted by his teacher Alberto Guerrero, was</w:t>
      </w:r>
      <w:r>
        <w:rPr>
          <w:rFonts w:ascii="Times New Roman" w:eastAsia="Times New Roman" w:hAnsi="Times New Roman"/>
          <w:lang w:eastAsia="cs-CZ"/>
        </w:rPr>
        <w:t xml:space="preserve"> finger- rather than body-driven Credit Don Hunstein/Sony </w:t>
      </w:r>
    </w:p>
    <w:p w:rsidR="00B43EDC" w:rsidRDefault="00AF2EA2">
      <w:pPr>
        <w:spacing w:before="100" w:after="100" w:line="240" w:lineRule="auto"/>
        <w:jc w:val="both"/>
        <w:rPr>
          <w:rFonts w:ascii="Times New Roman" w:eastAsia="Times New Roman" w:hAnsi="Times New Roman"/>
          <w:lang w:eastAsia="cs-CZ"/>
        </w:rPr>
      </w:pPr>
      <w:r>
        <w:rPr>
          <w:rFonts w:ascii="Times New Roman" w:eastAsia="Times New Roman" w:hAnsi="Times New Roman"/>
          <w:lang w:eastAsia="cs-CZ"/>
        </w:rPr>
        <w:t>In retrospect Bernstein must have been bothered by Gould’s other “departures” more than by the slow tempos. As Gould recalled in a radio interview in 1963, he was swept up with Baroque music at the</w:t>
      </w:r>
      <w:r>
        <w:rPr>
          <w:rFonts w:ascii="Times New Roman" w:eastAsia="Times New Roman" w:hAnsi="Times New Roman"/>
          <w:lang w:eastAsia="cs-CZ"/>
        </w:rPr>
        <w:t xml:space="preserve"> time of the Brahms performance and trying to flesh out Baroque elements in Brahms. It is not the slowness that seems strange, or anti-Romantic, but the deliberate pulse, the detached articulation and the constricted range of dynamics. Brahms often wrote f</w:t>
      </w:r>
      <w:r>
        <w:rPr>
          <w:rFonts w:ascii="Times New Roman" w:eastAsia="Times New Roman" w:hAnsi="Times New Roman"/>
          <w:lang w:eastAsia="cs-CZ"/>
        </w:rPr>
        <w:t>or the piano as if it were an orchestra. Here Gould tried to rid the piano part of orchestral thickness and purge the music of blatant expressive contrasts.</w:t>
      </w:r>
    </w:p>
    <w:p w:rsidR="00B43EDC" w:rsidRDefault="00AF2EA2">
      <w:pPr>
        <w:spacing w:before="100" w:after="100" w:line="240" w:lineRule="auto"/>
        <w:jc w:val="both"/>
        <w:rPr>
          <w:rFonts w:ascii="Times New Roman" w:eastAsia="Times New Roman" w:hAnsi="Times New Roman"/>
          <w:lang w:eastAsia="cs-CZ"/>
        </w:rPr>
      </w:pPr>
      <w:r>
        <w:rPr>
          <w:rFonts w:ascii="Times New Roman" w:eastAsia="Times New Roman" w:hAnsi="Times New Roman"/>
          <w:lang w:eastAsia="cs-CZ"/>
        </w:rPr>
        <w:t>The performance received some outraged reviews. Harold C. Schonberg in The New York Times, though h</w:t>
      </w:r>
      <w:r>
        <w:rPr>
          <w:rFonts w:ascii="Times New Roman" w:eastAsia="Times New Roman" w:hAnsi="Times New Roman"/>
          <w:lang w:eastAsia="cs-CZ"/>
        </w:rPr>
        <w:t xml:space="preserve">ighly critical, took a humorous approach. The review is written as a mock letter to a fictional friend, Ossip. (A stand-in for the old-world Russian Romantic pianist Ossip Gabrilowitsch?) Schonberg took particular heat for a sentence in which he suggested </w:t>
      </w:r>
      <w:r>
        <w:rPr>
          <w:rFonts w:ascii="Times New Roman" w:eastAsia="Times New Roman" w:hAnsi="Times New Roman"/>
          <w:lang w:eastAsia="cs-CZ"/>
        </w:rPr>
        <w:t>that Gould had played the concerto so slowly because “maybe his technique is not so good.” That gibe might have been too sweeping, but Schonberg had a point.</w:t>
      </w:r>
    </w:p>
    <w:p w:rsidR="00B43EDC" w:rsidRDefault="00AF2EA2">
      <w:pPr>
        <w:spacing w:before="100" w:after="100" w:line="240" w:lineRule="auto"/>
        <w:jc w:val="both"/>
        <w:rPr>
          <w:rFonts w:ascii="Times New Roman" w:eastAsia="Times New Roman" w:hAnsi="Times New Roman"/>
          <w:lang w:eastAsia="cs-CZ"/>
        </w:rPr>
      </w:pPr>
      <w:r>
        <w:rPr>
          <w:rFonts w:ascii="Times New Roman" w:eastAsia="Times New Roman" w:hAnsi="Times New Roman"/>
          <w:lang w:eastAsia="cs-CZ"/>
        </w:rPr>
        <w:t xml:space="preserve">It takes the whole body to play the Brahms concerto. You cannot dispatch this thick, chord-strewn </w:t>
      </w:r>
      <w:r>
        <w:rPr>
          <w:rFonts w:ascii="Times New Roman" w:eastAsia="Times New Roman" w:hAnsi="Times New Roman"/>
          <w:lang w:eastAsia="cs-CZ"/>
        </w:rPr>
        <w:t>work with fingers alone. During the development section of the first movement, as an outburst of rising octaves in the right hand races up the keyboard, chased by an outburst in the left hand, Gould’s playing sounds anything but effortless. He gets through</w:t>
      </w:r>
      <w:r>
        <w:rPr>
          <w:rFonts w:ascii="Times New Roman" w:eastAsia="Times New Roman" w:hAnsi="Times New Roman"/>
          <w:lang w:eastAsia="cs-CZ"/>
        </w:rPr>
        <w:t xml:space="preserve"> it, but not easily.</w:t>
      </w:r>
    </w:p>
    <w:p w:rsidR="00B43EDC" w:rsidRDefault="00AF2EA2">
      <w:pPr>
        <w:spacing w:before="100" w:after="100" w:line="240" w:lineRule="auto"/>
        <w:jc w:val="both"/>
        <w:rPr>
          <w:rFonts w:ascii="Times New Roman" w:eastAsia="Times New Roman" w:hAnsi="Times New Roman"/>
          <w:b/>
          <w:bCs/>
          <w:lang w:eastAsia="cs-CZ"/>
        </w:rPr>
      </w:pPr>
      <w:r>
        <w:rPr>
          <w:rFonts w:ascii="Times New Roman" w:eastAsia="Times New Roman" w:hAnsi="Times New Roman"/>
          <w:b/>
          <w:bCs/>
          <w:lang w:eastAsia="cs-CZ"/>
        </w:rPr>
        <w:t>Louder</w:t>
      </w:r>
    </w:p>
    <w:p w:rsidR="00B43EDC" w:rsidRDefault="00AF2EA2">
      <w:pPr>
        <w:spacing w:before="100" w:after="100" w:line="240" w:lineRule="auto"/>
        <w:jc w:val="both"/>
        <w:rPr>
          <w:rFonts w:ascii="Times New Roman" w:eastAsia="Times New Roman" w:hAnsi="Times New Roman"/>
          <w:lang w:eastAsia="cs-CZ"/>
        </w:rPr>
      </w:pPr>
      <w:r>
        <w:rPr>
          <w:rFonts w:ascii="Times New Roman" w:eastAsia="Times New Roman" w:hAnsi="Times New Roman"/>
          <w:lang w:eastAsia="cs-CZ"/>
        </w:rPr>
        <w:t>Stay on top of the latest in pop and jazz with reviews, interviews, podcasts and more from The New York Times music critics.</w:t>
      </w:r>
    </w:p>
    <w:p w:rsidR="00B43EDC" w:rsidRDefault="00AF2EA2">
      <w:pPr>
        <w:pBdr>
          <w:bottom w:val="single" w:sz="6" w:space="0" w:color="000000"/>
        </w:pBdr>
        <w:spacing w:after="0" w:line="240" w:lineRule="auto"/>
        <w:jc w:val="both"/>
        <w:rPr>
          <w:rFonts w:ascii="Arial" w:eastAsia="Times New Roman" w:hAnsi="Arial" w:cs="Arial"/>
          <w:vanish/>
          <w:lang w:eastAsia="cs-CZ"/>
        </w:rPr>
      </w:pPr>
      <w:r>
        <w:rPr>
          <w:rFonts w:ascii="Arial" w:eastAsia="Times New Roman" w:hAnsi="Arial" w:cs="Arial"/>
          <w:vanish/>
          <w:lang w:eastAsia="cs-CZ"/>
        </w:rPr>
        <w:t>Začátek formuláře</w:t>
      </w:r>
    </w:p>
    <w:p w:rsidR="00B43EDC" w:rsidRDefault="00AF2EA2">
      <w:pPr>
        <w:pBdr>
          <w:top w:val="single" w:sz="6" w:space="0" w:color="000000"/>
        </w:pBdr>
        <w:spacing w:after="0" w:line="240" w:lineRule="auto"/>
        <w:jc w:val="both"/>
        <w:rPr>
          <w:rFonts w:ascii="Arial" w:eastAsia="Times New Roman" w:hAnsi="Arial" w:cs="Arial"/>
          <w:vanish/>
          <w:lang w:eastAsia="cs-CZ"/>
        </w:rPr>
      </w:pPr>
      <w:r>
        <w:rPr>
          <w:rFonts w:ascii="Arial" w:eastAsia="Times New Roman" w:hAnsi="Arial" w:cs="Arial"/>
          <w:vanish/>
          <w:lang w:eastAsia="cs-CZ"/>
        </w:rPr>
        <w:t>Konec formuláře</w:t>
      </w:r>
    </w:p>
    <w:p w:rsidR="00B43EDC" w:rsidRDefault="00AF2EA2">
      <w:pPr>
        <w:pBdr>
          <w:bottom w:val="single" w:sz="6" w:space="0" w:color="000000"/>
        </w:pBdr>
        <w:spacing w:after="0" w:line="240" w:lineRule="auto"/>
        <w:jc w:val="both"/>
        <w:rPr>
          <w:rFonts w:ascii="Arial" w:eastAsia="Times New Roman" w:hAnsi="Arial" w:cs="Arial"/>
          <w:vanish/>
          <w:lang w:eastAsia="cs-CZ"/>
        </w:rPr>
      </w:pPr>
      <w:r>
        <w:rPr>
          <w:rFonts w:ascii="Arial" w:eastAsia="Times New Roman" w:hAnsi="Arial" w:cs="Arial"/>
          <w:vanish/>
          <w:lang w:eastAsia="cs-CZ"/>
        </w:rPr>
        <w:t>Začátek formuláře</w:t>
      </w:r>
    </w:p>
    <w:p w:rsidR="00B43EDC" w:rsidRDefault="00AF2EA2">
      <w:pPr>
        <w:spacing w:after="0" w:line="240" w:lineRule="auto"/>
        <w:jc w:val="both"/>
        <w:rPr>
          <w:rFonts w:ascii="Times New Roman" w:eastAsia="Times New Roman" w:hAnsi="Times New Roman"/>
          <w:lang w:eastAsia="cs-CZ"/>
        </w:rPr>
      </w:pPr>
      <w:r>
        <w:rPr>
          <w:rFonts w:ascii="Times New Roman" w:eastAsia="Times New Roman" w:hAnsi="Times New Roman"/>
          <w:lang w:eastAsia="cs-CZ"/>
        </w:rPr>
        <w:t>You agree to receive occasional updates and special</w:t>
      </w:r>
      <w:r>
        <w:rPr>
          <w:rFonts w:ascii="Times New Roman" w:eastAsia="Times New Roman" w:hAnsi="Times New Roman"/>
          <w:lang w:eastAsia="cs-CZ"/>
        </w:rPr>
        <w:t xml:space="preserve"> offers for The New York Times's products and services. </w:t>
      </w:r>
    </w:p>
    <w:p w:rsidR="00B43EDC" w:rsidRDefault="00AF2EA2">
      <w:pPr>
        <w:pBdr>
          <w:top w:val="single" w:sz="6" w:space="0" w:color="000000"/>
        </w:pBdr>
        <w:spacing w:after="0" w:line="240" w:lineRule="auto"/>
        <w:jc w:val="both"/>
        <w:rPr>
          <w:rFonts w:ascii="Arial" w:eastAsia="Times New Roman" w:hAnsi="Arial" w:cs="Arial"/>
          <w:vanish/>
          <w:lang w:eastAsia="cs-CZ"/>
        </w:rPr>
      </w:pPr>
      <w:r>
        <w:rPr>
          <w:rFonts w:ascii="Arial" w:eastAsia="Times New Roman" w:hAnsi="Arial" w:cs="Arial"/>
          <w:vanish/>
          <w:lang w:eastAsia="cs-CZ"/>
        </w:rPr>
        <w:t>Konec formuláře</w:t>
      </w:r>
    </w:p>
    <w:p w:rsidR="00B43EDC" w:rsidRDefault="00AF2EA2">
      <w:pPr>
        <w:spacing w:before="100" w:after="100" w:line="240" w:lineRule="auto"/>
        <w:jc w:val="both"/>
        <w:rPr>
          <w:rFonts w:ascii="Times New Roman" w:eastAsia="Times New Roman" w:hAnsi="Times New Roman"/>
          <w:lang w:eastAsia="cs-CZ"/>
        </w:rPr>
      </w:pPr>
      <w:r>
        <w:rPr>
          <w:rFonts w:ascii="Times New Roman" w:eastAsia="Times New Roman" w:hAnsi="Times New Roman"/>
          <w:lang w:eastAsia="cs-CZ"/>
        </w:rPr>
        <w:t>Gould’s performance has moments of stunning beauty and integrity, as when it brings out inner voices with remarkable clarity. The film quotes Gould from a radio interview the next yea</w:t>
      </w:r>
      <w:r>
        <w:rPr>
          <w:rFonts w:ascii="Times New Roman" w:eastAsia="Times New Roman" w:hAnsi="Times New Roman"/>
          <w:lang w:eastAsia="cs-CZ"/>
        </w:rPr>
        <w:t>r saying he found Bernstein’s speech that night full of good spirit and thought the whole controversy was amusing.</w:t>
      </w:r>
    </w:p>
    <w:p w:rsidR="00B43EDC" w:rsidRDefault="00AF2EA2">
      <w:pPr>
        <w:spacing w:before="100" w:after="100" w:line="240" w:lineRule="auto"/>
        <w:jc w:val="both"/>
        <w:rPr>
          <w:rFonts w:ascii="Times New Roman" w:eastAsia="Times New Roman" w:hAnsi="Times New Roman"/>
          <w:lang w:eastAsia="cs-CZ"/>
        </w:rPr>
      </w:pPr>
      <w:r>
        <w:rPr>
          <w:rFonts w:ascii="Times New Roman" w:eastAsia="Times New Roman" w:hAnsi="Times New Roman"/>
          <w:lang w:eastAsia="cs-CZ"/>
        </w:rPr>
        <w:t>That Gould was beloved by a circle of intimates comes through touchingly in the film, especially in an interview with the audio engineer Lorn</w:t>
      </w:r>
      <w:r>
        <w:rPr>
          <w:rFonts w:ascii="Times New Roman" w:eastAsia="Times New Roman" w:hAnsi="Times New Roman"/>
          <w:lang w:eastAsia="cs-CZ"/>
        </w:rPr>
        <w:t>e Tulk. After Gould, at 31, stopped giving public concerts and confined his work to the recording studio, he spent countless hours with Mr. Tulk, who carried out his painstaking editing demands. Gould was a pioneer in the creative (some would say manipulat</w:t>
      </w:r>
      <w:r>
        <w:rPr>
          <w:rFonts w:ascii="Times New Roman" w:eastAsia="Times New Roman" w:hAnsi="Times New Roman"/>
          <w:lang w:eastAsia="cs-CZ"/>
        </w:rPr>
        <w:t>ive) use of recording technology. Mr. Tulk was sometimes so involved in Gould’s recording projects that he neglected his children, he says. Still, he was a devoted friend.</w:t>
      </w:r>
    </w:p>
    <w:p w:rsidR="00B43EDC" w:rsidRDefault="00AF2EA2">
      <w:pPr>
        <w:spacing w:before="100" w:after="100" w:line="240" w:lineRule="auto"/>
        <w:jc w:val="both"/>
        <w:rPr>
          <w:rFonts w:ascii="Times New Roman" w:eastAsia="Times New Roman" w:hAnsi="Times New Roman"/>
          <w:lang w:eastAsia="cs-CZ"/>
        </w:rPr>
      </w:pPr>
      <w:r>
        <w:rPr>
          <w:rFonts w:ascii="Times New Roman" w:eastAsia="Times New Roman" w:hAnsi="Times New Roman"/>
          <w:lang w:eastAsia="cs-CZ"/>
        </w:rPr>
        <w:t xml:space="preserve">One day Gould told Mr. Tulk that they should be brothers, that they should actually </w:t>
      </w:r>
      <w:r>
        <w:rPr>
          <w:rFonts w:ascii="Times New Roman" w:eastAsia="Times New Roman" w:hAnsi="Times New Roman"/>
          <w:lang w:eastAsia="cs-CZ"/>
        </w:rPr>
        <w:t>go to some office in Toronto and make it legal. Mr. Tulk, as he recalls in the film, gently answered, “I would love to be your brother, Glenn,” but “I have four brothers and a sister” who might want some say in the matter.</w:t>
      </w:r>
    </w:p>
    <w:p w:rsidR="00B43EDC" w:rsidRDefault="00AF2EA2">
      <w:pPr>
        <w:spacing w:before="100" w:after="100" w:line="240" w:lineRule="auto"/>
        <w:jc w:val="both"/>
        <w:rPr>
          <w:rFonts w:ascii="Times New Roman" w:eastAsia="Times New Roman" w:hAnsi="Times New Roman"/>
          <w:lang w:eastAsia="cs-CZ"/>
        </w:rPr>
      </w:pPr>
      <w:r>
        <w:rPr>
          <w:rFonts w:ascii="Times New Roman" w:eastAsia="Times New Roman" w:hAnsi="Times New Roman"/>
          <w:lang w:eastAsia="cs-CZ"/>
        </w:rPr>
        <w:lastRenderedPageBreak/>
        <w:t>Gould thought this answer was ver</w:t>
      </w:r>
      <w:r>
        <w:rPr>
          <w:rFonts w:ascii="Times New Roman" w:eastAsia="Times New Roman" w:hAnsi="Times New Roman"/>
          <w:lang w:eastAsia="cs-CZ"/>
        </w:rPr>
        <w:t>y sweet, Mr. Tulk says. The subject never came up again.</w:t>
      </w:r>
    </w:p>
    <w:p w:rsidR="00B43EDC" w:rsidRDefault="00AF2EA2">
      <w:pPr>
        <w:pStyle w:val="Nadpis1"/>
        <w:rPr>
          <w:sz w:val="22"/>
          <w:szCs w:val="22"/>
        </w:rPr>
      </w:pPr>
      <w:r>
        <w:rPr>
          <w:sz w:val="22"/>
          <w:szCs w:val="22"/>
        </w:rPr>
        <w:t xml:space="preserve">Source: Tommasini, A.: 2010. For Glenn Gould, Form Followed Fingers. The New York Times. Available at: https://www.nytimes.com/2010/09/26/arts/music/26gould.html. </w:t>
      </w:r>
    </w:p>
    <w:p w:rsidR="00B43EDC" w:rsidRDefault="00AF2EA2">
      <w:r>
        <w:rPr>
          <w:noProof/>
          <w:lang w:eastAsia="cs-CZ"/>
        </w:rPr>
        <w:drawing>
          <wp:inline distT="0" distB="0" distL="0" distR="0">
            <wp:extent cx="3028968" cy="2381170"/>
            <wp:effectExtent l="0" t="0" r="0" b="0"/>
            <wp:docPr id="2" name="Obrázek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stretch>
                      <a:fillRect/>
                    </a:stretch>
                  </pic:blipFill>
                  <pic:spPr>
                    <a:xfrm>
                      <a:off x="0" y="0"/>
                      <a:ext cx="3028968" cy="2381170"/>
                    </a:xfrm>
                    <a:prstGeom prst="rect">
                      <a:avLst/>
                    </a:prstGeom>
                    <a:noFill/>
                    <a:ln>
                      <a:noFill/>
                      <a:prstDash/>
                    </a:ln>
                  </pic:spPr>
                </pic:pic>
              </a:graphicData>
            </a:graphic>
          </wp:inline>
        </w:drawing>
      </w:r>
    </w:p>
    <w:p w:rsidR="00B43EDC" w:rsidRDefault="00AF2EA2">
      <w:pPr>
        <w:rPr>
          <w:rFonts w:ascii="Times New Roman" w:hAnsi="Times New Roman"/>
          <w:lang w:val="en-US"/>
        </w:rPr>
      </w:pPr>
      <w:r>
        <w:rPr>
          <w:rFonts w:ascii="Times New Roman" w:hAnsi="Times New Roman"/>
          <w:lang w:val="en-US"/>
        </w:rPr>
        <w:t>Follow-up tasks:</w:t>
      </w:r>
    </w:p>
    <w:p w:rsidR="00B43EDC" w:rsidRDefault="00AF2EA2">
      <w:pPr>
        <w:rPr>
          <w:rFonts w:ascii="Times New Roman" w:hAnsi="Times New Roman"/>
          <w:lang w:val="en-US"/>
        </w:rPr>
      </w:pPr>
      <w:r>
        <w:rPr>
          <w:rFonts w:ascii="Times New Roman" w:hAnsi="Times New Roman"/>
          <w:lang w:val="en-US"/>
        </w:rPr>
        <w:t>1. What made Gou</w:t>
      </w:r>
      <w:r>
        <w:rPr>
          <w:rFonts w:ascii="Times New Roman" w:hAnsi="Times New Roman"/>
          <w:lang w:val="en-US"/>
        </w:rPr>
        <w:t>ld so special as a pianist? What were his “quirks”?</w:t>
      </w:r>
    </w:p>
    <w:p w:rsidR="00B43EDC" w:rsidRDefault="00AF2EA2">
      <w:pPr>
        <w:rPr>
          <w:rFonts w:ascii="Times New Roman" w:hAnsi="Times New Roman"/>
          <w:lang w:val="en-US"/>
        </w:rPr>
      </w:pPr>
      <w:r>
        <w:rPr>
          <w:rFonts w:ascii="Times New Roman" w:hAnsi="Times New Roman"/>
          <w:lang w:val="en-US"/>
        </w:rPr>
        <w:t>2. Why were the critics disillusioned by him?</w:t>
      </w:r>
    </w:p>
    <w:p w:rsidR="00B43EDC" w:rsidRDefault="00AF2EA2">
      <w:r>
        <w:rPr>
          <w:rFonts w:ascii="Times New Roman" w:hAnsi="Times New Roman"/>
          <w:lang w:val="en-US"/>
        </w:rPr>
        <w:t>3. Can you think of other artists and their weird habits? Why do you think that is oftentimes the case?</w:t>
      </w:r>
    </w:p>
    <w:sectPr w:rsidR="00B43EDC" w:rsidSect="00B43EDC">
      <w:pgSz w:w="11906" w:h="16838"/>
      <w:pgMar w:top="1417" w:right="1417" w:bottom="1417" w:left="1417"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2EA2" w:rsidRDefault="00AF2EA2" w:rsidP="00B43EDC">
      <w:pPr>
        <w:spacing w:after="0" w:line="240" w:lineRule="auto"/>
      </w:pPr>
      <w:r>
        <w:separator/>
      </w:r>
    </w:p>
  </w:endnote>
  <w:endnote w:type="continuationSeparator" w:id="0">
    <w:p w:rsidR="00AF2EA2" w:rsidRDefault="00AF2EA2" w:rsidP="00B43E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2EA2" w:rsidRDefault="00AF2EA2" w:rsidP="00B43EDC">
      <w:pPr>
        <w:spacing w:after="0" w:line="240" w:lineRule="auto"/>
      </w:pPr>
      <w:r w:rsidRPr="00B43EDC">
        <w:rPr>
          <w:color w:val="000000"/>
        </w:rPr>
        <w:separator/>
      </w:r>
    </w:p>
  </w:footnote>
  <w:footnote w:type="continuationSeparator" w:id="0">
    <w:p w:rsidR="00AF2EA2" w:rsidRDefault="00AF2EA2" w:rsidP="00B43ED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defaultTabStop w:val="708"/>
  <w:autoHyphenation/>
  <w:hyphenationZone w:val="425"/>
  <w:characterSpacingControl w:val="doNotCompress"/>
  <w:footnotePr>
    <w:footnote w:id="-1"/>
    <w:footnote w:id="0"/>
  </w:footnotePr>
  <w:endnotePr>
    <w:endnote w:id="-1"/>
    <w:endnote w:id="0"/>
  </w:endnotePr>
  <w:compat/>
  <w:rsids>
    <w:rsidRoot w:val="00B43EDC"/>
    <w:rsid w:val="00AF2EA2"/>
    <w:rsid w:val="00B43EDC"/>
    <w:rsid w:val="00D0707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en-US" w:bidi="ar-SA"/>
      </w:rPr>
    </w:rPrDefault>
    <w:pPrDefault>
      <w:pPr>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rsid w:val="00B43EDC"/>
    <w:pPr>
      <w:suppressAutoHyphens/>
    </w:pPr>
  </w:style>
  <w:style w:type="paragraph" w:styleId="Nadpis1">
    <w:name w:val="heading 1"/>
    <w:basedOn w:val="Normln"/>
    <w:rsid w:val="00B43EDC"/>
    <w:pPr>
      <w:spacing w:before="100" w:after="100" w:line="240" w:lineRule="auto"/>
      <w:outlineLvl w:val="0"/>
    </w:pPr>
    <w:rPr>
      <w:rFonts w:ascii="Times New Roman" w:eastAsia="Times New Roman" w:hAnsi="Times New Roman"/>
      <w:b/>
      <w:bCs/>
      <w:kern w:val="3"/>
      <w:sz w:val="48"/>
      <w:szCs w:val="48"/>
      <w:lang w:eastAsia="cs-CZ"/>
    </w:rPr>
  </w:style>
  <w:style w:type="paragraph" w:styleId="Nadpis2">
    <w:name w:val="heading 2"/>
    <w:basedOn w:val="Normln"/>
    <w:rsid w:val="00B43EDC"/>
    <w:pPr>
      <w:spacing w:before="100" w:after="100" w:line="240" w:lineRule="auto"/>
      <w:outlineLvl w:val="1"/>
    </w:pPr>
    <w:rPr>
      <w:rFonts w:ascii="Times New Roman" w:eastAsia="Times New Roman" w:hAnsi="Times New Roman"/>
      <w:b/>
      <w:bCs/>
      <w:sz w:val="36"/>
      <w:szCs w:val="36"/>
      <w:lang w:eastAsia="cs-CZ"/>
    </w:rPr>
  </w:style>
  <w:style w:type="paragraph" w:styleId="Nadpis3">
    <w:name w:val="heading 3"/>
    <w:basedOn w:val="Normln"/>
    <w:rsid w:val="00B43EDC"/>
    <w:pPr>
      <w:spacing w:before="100" w:after="100" w:line="240" w:lineRule="auto"/>
      <w:outlineLvl w:val="2"/>
    </w:pPr>
    <w:rPr>
      <w:rFonts w:ascii="Times New Roman" w:eastAsia="Times New Roman" w:hAnsi="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rsid w:val="00B43EDC"/>
    <w:rPr>
      <w:rFonts w:ascii="Times New Roman" w:eastAsia="Times New Roman" w:hAnsi="Times New Roman" w:cs="Times New Roman"/>
      <w:b/>
      <w:bCs/>
      <w:kern w:val="3"/>
      <w:sz w:val="48"/>
      <w:szCs w:val="48"/>
      <w:lang w:eastAsia="cs-CZ"/>
    </w:rPr>
  </w:style>
  <w:style w:type="character" w:customStyle="1" w:styleId="Nadpis2Char">
    <w:name w:val="Nadpis 2 Char"/>
    <w:basedOn w:val="Standardnpsmoodstavce"/>
    <w:rsid w:val="00B43EDC"/>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rsid w:val="00B43EDC"/>
    <w:rPr>
      <w:rFonts w:ascii="Times New Roman" w:eastAsia="Times New Roman" w:hAnsi="Times New Roman" w:cs="Times New Roman"/>
      <w:b/>
      <w:bCs/>
      <w:sz w:val="27"/>
      <w:szCs w:val="27"/>
      <w:lang w:eastAsia="cs-CZ"/>
    </w:rPr>
  </w:style>
  <w:style w:type="paragraph" w:customStyle="1" w:styleId="byline-dateline">
    <w:name w:val="byline-dateline"/>
    <w:basedOn w:val="Normln"/>
    <w:rsid w:val="00B43EDC"/>
    <w:pPr>
      <w:spacing w:before="100" w:after="100" w:line="240" w:lineRule="auto"/>
    </w:pPr>
    <w:rPr>
      <w:rFonts w:ascii="Times New Roman" w:eastAsia="Times New Roman" w:hAnsi="Times New Roman"/>
      <w:sz w:val="24"/>
      <w:szCs w:val="24"/>
      <w:lang w:eastAsia="cs-CZ"/>
    </w:rPr>
  </w:style>
  <w:style w:type="character" w:customStyle="1" w:styleId="byline">
    <w:name w:val="byline"/>
    <w:basedOn w:val="Standardnpsmoodstavce"/>
    <w:rsid w:val="00B43EDC"/>
  </w:style>
  <w:style w:type="character" w:styleId="Hypertextovodkaz">
    <w:name w:val="Hyperlink"/>
    <w:basedOn w:val="Standardnpsmoodstavce"/>
    <w:rsid w:val="00B43EDC"/>
    <w:rPr>
      <w:color w:val="0000FF"/>
      <w:u w:val="single"/>
    </w:rPr>
  </w:style>
  <w:style w:type="character" w:customStyle="1" w:styleId="byline-author">
    <w:name w:val="byline-author"/>
    <w:basedOn w:val="Standardnpsmoodstavce"/>
    <w:rsid w:val="00B43EDC"/>
  </w:style>
  <w:style w:type="character" w:customStyle="1" w:styleId="sharetools-label">
    <w:name w:val="sharetools-label"/>
    <w:basedOn w:val="Standardnpsmoodstavce"/>
    <w:rsid w:val="00B43EDC"/>
  </w:style>
  <w:style w:type="character" w:customStyle="1" w:styleId="sharetool-text">
    <w:name w:val="sharetool-text"/>
    <w:basedOn w:val="Standardnpsmoodstavce"/>
    <w:rsid w:val="00B43EDC"/>
  </w:style>
  <w:style w:type="paragraph" w:customStyle="1" w:styleId="story-body-text">
    <w:name w:val="story-body-text"/>
    <w:basedOn w:val="Normln"/>
    <w:rsid w:val="00B43EDC"/>
    <w:pPr>
      <w:spacing w:before="100" w:after="100" w:line="240" w:lineRule="auto"/>
    </w:pPr>
    <w:rPr>
      <w:rFonts w:ascii="Times New Roman" w:eastAsia="Times New Roman" w:hAnsi="Times New Roman"/>
      <w:sz w:val="24"/>
      <w:szCs w:val="24"/>
      <w:lang w:eastAsia="cs-CZ"/>
    </w:rPr>
  </w:style>
  <w:style w:type="character" w:customStyle="1" w:styleId="title">
    <w:name w:val="title"/>
    <w:basedOn w:val="Standardnpsmoodstavce"/>
    <w:rsid w:val="00B43EDC"/>
  </w:style>
  <w:style w:type="character" w:customStyle="1" w:styleId="visually-hidden">
    <w:name w:val="visually-hidden"/>
    <w:basedOn w:val="Standardnpsmoodstavce"/>
    <w:rsid w:val="00B43EDC"/>
  </w:style>
  <w:style w:type="character" w:customStyle="1" w:styleId="caption-text">
    <w:name w:val="caption-text"/>
    <w:basedOn w:val="Standardnpsmoodstavce"/>
    <w:rsid w:val="00B43EDC"/>
  </w:style>
  <w:style w:type="character" w:customStyle="1" w:styleId="credit">
    <w:name w:val="credit"/>
    <w:basedOn w:val="Standardnpsmoodstavce"/>
    <w:rsid w:val="00B43EDC"/>
  </w:style>
  <w:style w:type="paragraph" w:customStyle="1" w:styleId="summary">
    <w:name w:val="summary"/>
    <w:basedOn w:val="Normln"/>
    <w:rsid w:val="00B43EDC"/>
    <w:pPr>
      <w:spacing w:before="100" w:after="100" w:line="240" w:lineRule="auto"/>
    </w:pPr>
    <w:rPr>
      <w:rFonts w:ascii="Times New Roman" w:eastAsia="Times New Roman" w:hAnsi="Times New Roman"/>
      <w:sz w:val="24"/>
      <w:szCs w:val="24"/>
      <w:lang w:eastAsia="cs-CZ"/>
    </w:rPr>
  </w:style>
  <w:style w:type="paragraph" w:styleId="z-Zatekformule">
    <w:name w:val="HTML Top of Form"/>
    <w:basedOn w:val="Normln"/>
    <w:next w:val="Normln"/>
    <w:rsid w:val="00B43EDC"/>
    <w:pPr>
      <w:pBdr>
        <w:bottom w:val="single" w:sz="6" w:space="0" w:color="000000"/>
      </w:pBdr>
      <w:spacing w:after="0" w:line="240" w:lineRule="auto"/>
      <w:jc w:val="center"/>
    </w:pPr>
    <w:rPr>
      <w:rFonts w:ascii="Arial" w:eastAsia="Times New Roman" w:hAnsi="Arial" w:cs="Arial"/>
      <w:vanish/>
      <w:sz w:val="16"/>
      <w:szCs w:val="16"/>
      <w:lang w:eastAsia="cs-CZ"/>
    </w:rPr>
  </w:style>
  <w:style w:type="character" w:customStyle="1" w:styleId="z-ZatekformuleChar">
    <w:name w:val="z-Začátek formuláře Char"/>
    <w:basedOn w:val="Standardnpsmoodstavce"/>
    <w:rsid w:val="00B43EDC"/>
    <w:rPr>
      <w:rFonts w:ascii="Arial" w:eastAsia="Times New Roman" w:hAnsi="Arial" w:cs="Arial"/>
      <w:vanish/>
      <w:sz w:val="16"/>
      <w:szCs w:val="16"/>
      <w:lang w:eastAsia="cs-CZ"/>
    </w:rPr>
  </w:style>
  <w:style w:type="paragraph" w:styleId="z-Konecformule">
    <w:name w:val="HTML Bottom of Form"/>
    <w:basedOn w:val="Normln"/>
    <w:next w:val="Normln"/>
    <w:rsid w:val="00B43EDC"/>
    <w:pPr>
      <w:pBdr>
        <w:top w:val="single" w:sz="6" w:space="0" w:color="000000"/>
      </w:pBdr>
      <w:spacing w:after="0" w:line="240" w:lineRule="auto"/>
      <w:jc w:val="center"/>
    </w:pPr>
    <w:rPr>
      <w:rFonts w:ascii="Arial" w:eastAsia="Times New Roman" w:hAnsi="Arial" w:cs="Arial"/>
      <w:vanish/>
      <w:sz w:val="16"/>
      <w:szCs w:val="16"/>
      <w:lang w:eastAsia="cs-CZ"/>
    </w:rPr>
  </w:style>
  <w:style w:type="character" w:customStyle="1" w:styleId="z-KonecformuleChar">
    <w:name w:val="z-Konec formuláře Char"/>
    <w:basedOn w:val="Standardnpsmoodstavce"/>
    <w:rsid w:val="00B43EDC"/>
    <w:rPr>
      <w:rFonts w:ascii="Arial" w:eastAsia="Times New Roman" w:hAnsi="Arial" w:cs="Arial"/>
      <w:vanish/>
      <w:sz w:val="16"/>
      <w:szCs w:val="16"/>
      <w:lang w:eastAsia="cs-CZ"/>
    </w:rPr>
  </w:style>
  <w:style w:type="paragraph" w:styleId="Textbubliny">
    <w:name w:val="Balloon Text"/>
    <w:basedOn w:val="Normln"/>
    <w:rsid w:val="00B43EDC"/>
    <w:pPr>
      <w:spacing w:after="0" w:line="240" w:lineRule="auto"/>
    </w:pPr>
    <w:rPr>
      <w:rFonts w:ascii="Tahoma" w:hAnsi="Tahoma" w:cs="Tahoma"/>
      <w:sz w:val="16"/>
      <w:szCs w:val="16"/>
    </w:rPr>
  </w:style>
  <w:style w:type="character" w:customStyle="1" w:styleId="TextbublinyChar">
    <w:name w:val="Text bubliny Char"/>
    <w:basedOn w:val="Standardnpsmoodstavce"/>
    <w:rsid w:val="00B43EDC"/>
    <w:rPr>
      <w:rFonts w:ascii="Tahoma" w:hAnsi="Tahoma" w:cs="Tahoma"/>
      <w:sz w:val="16"/>
      <w:szCs w:val="16"/>
    </w:rPr>
  </w:style>
  <w:style w:type="paragraph" w:customStyle="1" w:styleId="graf">
    <w:name w:val="graf"/>
    <w:basedOn w:val="Normln"/>
    <w:rsid w:val="00B43EDC"/>
    <w:pPr>
      <w:spacing w:before="100" w:after="100" w:line="240" w:lineRule="auto"/>
    </w:pPr>
    <w:rPr>
      <w:rFonts w:ascii="Times New Roman" w:eastAsia="Times New Roman" w:hAnsi="Times New Roman"/>
      <w:sz w:val="24"/>
      <w:szCs w:val="24"/>
      <w:lang w:eastAsia="cs-CZ"/>
    </w:rPr>
  </w:style>
  <w:style w:type="character" w:styleId="Siln">
    <w:name w:val="Strong"/>
    <w:basedOn w:val="Standardnpsmoodstavce"/>
    <w:rsid w:val="00B43EDC"/>
    <w:rPr>
      <w:b/>
      <w:bCs/>
    </w:rPr>
  </w:style>
  <w:style w:type="character" w:styleId="Zvraznn">
    <w:name w:val="Emphasis"/>
    <w:basedOn w:val="Standardnpsmoodstavce"/>
    <w:rsid w:val="00B43EDC"/>
    <w:rPr>
      <w:i/>
      <w:i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en.wikipedia.org/wiki/Pierre_Trudeau" TargetMode="External"/><Relationship Id="rId13" Type="http://schemas.openxmlformats.org/officeDocument/2006/relationships/hyperlink" Target="https://en.wikipedia.org/wiki/Front_de_lib&#233;ration_du_Qu&#233;bec" TargetMode="External"/><Relationship Id="rId18" Type="http://schemas.openxmlformats.org/officeDocument/2006/relationships/hyperlink" Target="https://www.canada.ca/en/immigration-refugees-citizenship/corporate/publications-manuals/fact-sheet-temporary-foreign-worker-pr" TargetMode="External"/><Relationship Id="rId26" Type="http://schemas.openxmlformats.org/officeDocument/2006/relationships/hyperlink" Target="http://www.nytimes.com/2010/09/05/movies/05gould.html" TargetMode="External"/><Relationship Id="rId3" Type="http://schemas.openxmlformats.org/officeDocument/2006/relationships/webSettings" Target="webSettings.xml"/><Relationship Id="rId21" Type="http://schemas.openxmlformats.org/officeDocument/2006/relationships/hyperlink" Target="http://www.macleans.ca/opinion/how-canada-is-inspiring-scandinavian-countries-on-immigration/" TargetMode="External"/><Relationship Id="rId7" Type="http://schemas.openxmlformats.org/officeDocument/2006/relationships/image" Target="media/image1.jpeg"/><Relationship Id="rId12" Type="http://schemas.openxmlformats.org/officeDocument/2006/relationships/hyperlink" Target="https://en.wikipedia.org/wiki/October_Crisis" TargetMode="External"/><Relationship Id="rId17" Type="http://schemas.openxmlformats.org/officeDocument/2006/relationships/hyperlink" Target="https://www.canada.ca/en/immigration-refugees-citizenship/services/immigrate-canada/express-entry/become-candidate/criteria-com" TargetMode="External"/><Relationship Id="rId25" Type="http://schemas.openxmlformats.org/officeDocument/2006/relationships/hyperlink" Target="http://topics.nytimes.com/top/reference/timestopics/people/g/glenn_gould/index.html?inline=nyt-per"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canada.ca/en/immigration-refugees-citizenship/services/immigrate-canada/express-entry/become-candidate/fill-profile" TargetMode="External"/><Relationship Id="rId20" Type="http://schemas.openxmlformats.org/officeDocument/2006/relationships/hyperlink" Target="https://www.westernsydney.edu.au/equity_diversity/equity_and_diversity/tools_and_resources/reportsandpubs/australian_multicultu" TargetMode="External"/><Relationship Id="rId29" Type="http://schemas.openxmlformats.org/officeDocument/2006/relationships/hyperlink" Target="http://www.youtube.com/watch?v=4gs3TeEUy8g" TargetMode="External"/><Relationship Id="rId1" Type="http://schemas.openxmlformats.org/officeDocument/2006/relationships/styles" Target="styles.xml"/><Relationship Id="rId6" Type="http://schemas.openxmlformats.org/officeDocument/2006/relationships/hyperlink" Target="https://www.washingtonpost.com/news/worldviews/wp/2015/12/14/angela-merkel-multiculturalism-is-a-sham/?utm_term=.06d0366aa1f1" TargetMode="External"/><Relationship Id="rId11" Type="http://schemas.openxmlformats.org/officeDocument/2006/relationships/hyperlink" Target="https://en.wikipedia.org/wiki/Quebec_sovereignty_movement" TargetMode="External"/><Relationship Id="rId24" Type="http://schemas.openxmlformats.org/officeDocument/2006/relationships/hyperlink" Target="https://www.theglobeandmail.com/news/world/us-politics/donald-trump-congress-speech-immigration/article34158135/"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en.wikipedia.org/wiki/Canadian_Multiculturalism_Act" TargetMode="External"/><Relationship Id="rId23" Type="http://schemas.openxmlformats.org/officeDocument/2006/relationships/hyperlink" Target="https://www.thelocal.se/20160524/swedens-foreign-born-citizens-still-more-likely-to-be-unemployed" TargetMode="External"/><Relationship Id="rId28" Type="http://schemas.openxmlformats.org/officeDocument/2006/relationships/hyperlink" Target="http://www.thecanadianencyclopedia.com/index.cfm?PgNm=TCE&amp;Params=U1ARTU0001464" TargetMode="External"/><Relationship Id="rId10" Type="http://schemas.openxmlformats.org/officeDocument/2006/relationships/hyperlink" Target="https://web.archive.org/web/20140312210113/http:/www.cic.gc.ca/english/multiculturalism/citizenship.asp" TargetMode="External"/><Relationship Id="rId19" Type="http://schemas.openxmlformats.org/officeDocument/2006/relationships/hyperlink" Target="https://theconversation.com/explainer-what-is-australias-points-system-for-immigration-26065" TargetMode="External"/><Relationship Id="rId31" Type="http://schemas.openxmlformats.org/officeDocument/2006/relationships/image" Target="media/image2.jpeg"/><Relationship Id="rId4" Type="http://schemas.openxmlformats.org/officeDocument/2006/relationships/footnotes" Target="footnotes.xml"/><Relationship Id="rId9" Type="http://schemas.openxmlformats.org/officeDocument/2006/relationships/hyperlink" Target="https://en.wikipedia.org/wiki/Justin_Trudeau" TargetMode="External"/><Relationship Id="rId14" Type="http://schemas.openxmlformats.org/officeDocument/2006/relationships/hyperlink" Target="https://en.wikipedia.org/wiki/Canadian_Charter_of_Rights_and_Freedoms" TargetMode="External"/><Relationship Id="rId22" Type="http://schemas.openxmlformats.org/officeDocument/2006/relationships/hyperlink" Target="https://www.theglobeandmail.com/globe-debate/swedens-ugly-immigration-problem/article26338254/" TargetMode="External"/><Relationship Id="rId27" Type="http://schemas.openxmlformats.org/officeDocument/2006/relationships/hyperlink" Target="http://movies.nytimes.com/2010/09/10/movies/10genius.html" TargetMode="External"/><Relationship Id="rId30" Type="http://schemas.openxmlformats.org/officeDocument/2006/relationships/hyperlink" Target="http://www.youtube.com/watch?v=3PtIAHAzS4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2708</Words>
  <Characters>15979</Characters>
  <Application>Microsoft Office Word</Application>
  <DocSecurity>0</DocSecurity>
  <Lines>133</Lines>
  <Paragraphs>37</Paragraphs>
  <ScaleCrop>false</ScaleCrop>
  <Company/>
  <LinksUpToDate>false</LinksUpToDate>
  <CharactersWithSpaces>18650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Hostýnek</dc:creator>
  <cp:lastModifiedBy>Tomáš Hostýnek</cp:lastModifiedBy>
  <cp:revision>2</cp:revision>
  <dcterms:created xsi:type="dcterms:W3CDTF">2020-11-21T19:13:00Z</dcterms:created>
  <dcterms:modified xsi:type="dcterms:W3CDTF">2020-11-21T19:13:00Z</dcterms:modified>
</cp:coreProperties>
</file>