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942" w:rsidRPr="00596942" w:rsidRDefault="00596942" w:rsidP="00596942">
      <w:pPr>
        <w:shd w:val="clear" w:color="auto" w:fill="FFFFFF"/>
        <w:spacing w:after="0" w:line="240" w:lineRule="auto"/>
        <w:jc w:val="center"/>
        <w:textAlignment w:val="baseline"/>
        <w:rPr>
          <w:rFonts w:ascii="Arial Black" w:eastAsia="Times New Roman" w:hAnsi="Arial Black" w:cs="Times New Roman"/>
          <w:color w:val="545353"/>
          <w:sz w:val="28"/>
          <w:szCs w:val="28"/>
          <w:lang w:eastAsia="cs-CZ"/>
        </w:rPr>
      </w:pPr>
      <w:r w:rsidRPr="00596942">
        <w:rPr>
          <w:rFonts w:ascii="Arial Black" w:eastAsia="Times New Roman" w:hAnsi="Arial Black" w:cs="Times New Roman"/>
          <w:color w:val="545353"/>
          <w:sz w:val="28"/>
          <w:szCs w:val="28"/>
          <w:lang w:eastAsia="cs-CZ"/>
        </w:rPr>
        <w:t>The cultural legacy and impact of Tolkien’s books</w:t>
      </w:r>
    </w:p>
    <w:p w:rsidR="00596942" w:rsidRDefault="00596942" w:rsidP="00596942">
      <w:pPr>
        <w:shd w:val="clear" w:color="auto" w:fill="FFFFFF"/>
        <w:spacing w:after="0" w:line="240" w:lineRule="auto"/>
        <w:textAlignment w:val="baseline"/>
        <w:rPr>
          <w:rFonts w:ascii="Georgia" w:eastAsia="Times New Roman" w:hAnsi="Georgia" w:cs="Times New Roman"/>
          <w:color w:val="545353"/>
          <w:sz w:val="23"/>
          <w:szCs w:val="23"/>
          <w:lang w:eastAsia="cs-CZ"/>
        </w:rPr>
      </w:pPr>
    </w:p>
    <w:p w:rsid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p>
    <w:p w:rsid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p>
    <w:p w:rsid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Pr>
          <w:rFonts w:ascii="Georgia" w:eastAsia="Times New Roman" w:hAnsi="Georgia" w:cs="Times New Roman"/>
          <w:color w:val="545353"/>
          <w:sz w:val="23"/>
          <w:szCs w:val="23"/>
          <w:lang w:eastAsia="cs-CZ"/>
        </w:rPr>
        <w:t>Adapted from:</w:t>
      </w:r>
      <w:r w:rsidRPr="00596942">
        <w:t xml:space="preserve"> </w:t>
      </w:r>
      <w:r w:rsidRPr="00596942">
        <w:rPr>
          <w:rFonts w:ascii="Georgia" w:eastAsia="Times New Roman" w:hAnsi="Georgia" w:cs="Times New Roman"/>
          <w:color w:val="545353"/>
          <w:sz w:val="23"/>
          <w:szCs w:val="23"/>
          <w:lang w:eastAsia="cs-CZ"/>
        </w:rPr>
        <w:t>https://www.tor.com/2019/01/03/a-new-age-the-lord-of-the-rings-by-j-r-r-tolkien/</w:t>
      </w:r>
    </w:p>
    <w:p w:rsid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p>
    <w:p w:rsid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Pr>
          <w:rFonts w:ascii="Georgia" w:eastAsia="Times New Roman" w:hAnsi="Georgia" w:cs="Times New Roman"/>
          <w:noProof/>
          <w:color w:val="545353"/>
          <w:sz w:val="23"/>
          <w:szCs w:val="23"/>
          <w:lang w:eastAsia="cs-CZ"/>
        </w:rPr>
        <w:drawing>
          <wp:inline distT="0" distB="0" distL="0" distR="0">
            <wp:extent cx="4950606" cy="2700132"/>
            <wp:effectExtent l="19050" t="0" r="2394" b="0"/>
            <wp:docPr id="6" name="Obrázek 5" descr="LOTR-Ballantin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TR-Ballantine (1).png"/>
                    <pic:cNvPicPr/>
                  </pic:nvPicPr>
                  <pic:blipFill>
                    <a:blip r:embed="rId5"/>
                    <a:stretch>
                      <a:fillRect/>
                    </a:stretch>
                  </pic:blipFill>
                  <pic:spPr>
                    <a:xfrm>
                      <a:off x="0" y="0"/>
                      <a:ext cx="4952521" cy="2701177"/>
                    </a:xfrm>
                    <a:prstGeom prst="rect">
                      <a:avLst/>
                    </a:prstGeom>
                  </pic:spPr>
                </pic:pic>
              </a:graphicData>
            </a:graphic>
          </wp:inline>
        </w:drawing>
      </w:r>
    </w:p>
    <w:p w:rsid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Today, I’m going to do something a bit different, and look not just at a work of fiction, but at a specific edition of a book and its impact on the culture and on publishing. That book is the first official, authorized paperback edition of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by J.R.R. Tolkien. Sometimes, the right book comes along with the right message at the right time and ends up not only a literary classic, but a cultural phenomenon that ushers in a new age…</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And when I talk about the book ushering in a new age, I’m not referring to the end of the Third and beginning of the Fourth Age of Middle-earth—I’m talking about the creation of a new mass market fictional genre. While often comingled with science fiction on the shelves, fantasy has become a genre unto itself. If you didn’t live through the shift, it’s hard to grasp how profound it was. Moreover, because of the wide appeal of fantasy books, the barriers around the previously insular world of science fiction and fantasy fandom began to crumble, as what was once the purview of “geeks and nerds” became mainstream entertainment. This column will look at how the book’s publishers, the author, the publishing industry, the culture, and the message all came together in a unique way that had a huge and lasting impact.</w:t>
      </w: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 xml:space="preserve">My brothers, father, and I were at a science fiction convention—sometime in the 1980s, I think it was. We all shared a single room to save money, and unfortunately, my father snored like a freight train chugging into a station. My youngest brother woke up early, and snuck out to the lobby to find some peace and quiet. When the rest of us got up for breakfast, I found him in the lobby talking to an older gentleman. He told me the man had bought breakfast for him and some other fans. The man put his hand out to shake mine, and introduced himself. “Ian Ballantine,” he said. I stammered something in reply, and he gave me a knowing look and a smile. He was used to meeting people who held him in awe. I think he found my brother’s company at breakfast refreshing because my brother did not know who he was. Ballantine excused himself, as he had a busy day ahead, and I asked my brother if he knew who he had just shared a meal with. He replied, </w:t>
      </w:r>
      <w:r w:rsidRPr="00596942">
        <w:rPr>
          <w:rFonts w:ascii="Georgia" w:eastAsia="Times New Roman" w:hAnsi="Georgia" w:cs="Times New Roman"/>
          <w:color w:val="545353"/>
          <w:sz w:val="23"/>
          <w:szCs w:val="23"/>
          <w:lang w:eastAsia="cs-CZ"/>
        </w:rPr>
        <w:lastRenderedPageBreak/>
        <w:t>“I think he had something to do with publishing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because he was pleased when I told him it was my favorite book.” And I proceeded to tell my brother the story of the publishing of the paperback edition of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and its impact.</w:t>
      </w:r>
    </w:p>
    <w:p w:rsid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 </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Pr>
          <w:rFonts w:ascii="Georgia" w:eastAsia="Times New Roman" w:hAnsi="Georgia" w:cs="Times New Roman"/>
          <w:color w:val="545353"/>
          <w:sz w:val="23"/>
          <w:szCs w:val="23"/>
          <w:lang w:eastAsia="cs-CZ"/>
        </w:rPr>
        <w:t>/…/</w:t>
      </w:r>
    </w:p>
    <w:p w:rsidR="00596942" w:rsidRPr="00596942" w:rsidRDefault="00596942" w:rsidP="00596942">
      <w:pPr>
        <w:shd w:val="clear" w:color="auto" w:fill="FFFFFF"/>
        <w:spacing w:after="0" w:line="420" w:lineRule="atLeast"/>
        <w:jc w:val="both"/>
        <w:textAlignment w:val="baseline"/>
        <w:outlineLvl w:val="3"/>
        <w:rPr>
          <w:rFonts w:ascii="Georgia" w:eastAsia="Times New Roman" w:hAnsi="Georgia" w:cs="Times New Roman"/>
          <w:b/>
          <w:bCs/>
          <w:color w:val="545353"/>
          <w:sz w:val="27"/>
          <w:szCs w:val="27"/>
          <w:lang w:eastAsia="cs-CZ"/>
        </w:rPr>
      </w:pPr>
      <w:r>
        <w:rPr>
          <w:rFonts w:ascii="inherit" w:eastAsia="Times New Roman" w:hAnsi="inherit" w:cs="Times New Roman"/>
          <w:b/>
          <w:bCs/>
          <w:color w:val="545353"/>
          <w:sz w:val="27"/>
          <w:lang w:eastAsia="cs-CZ"/>
        </w:rPr>
        <w:t>A</w:t>
      </w:r>
      <w:r w:rsidRPr="00596942">
        <w:rPr>
          <w:rFonts w:ascii="inherit" w:eastAsia="Times New Roman" w:hAnsi="inherit" w:cs="Times New Roman"/>
          <w:b/>
          <w:bCs/>
          <w:color w:val="545353"/>
          <w:sz w:val="27"/>
          <w:lang w:eastAsia="cs-CZ"/>
        </w:rPr>
        <w:t>bout the Author</w:t>
      </w: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J.R.R. Tolkien (1892-1973) was a professor at Oxford University who specialized in studying the roots of the English language. In his work he was exposed to ancient tales and legends, and was inspired to write fantasy stories whose themes harkened back to those ancient days. His crowning achievement was the creation of a fictional world set in an era that predated our current historical records, a world of magical powers with its own unique races and languages. The fictional stories set in that world include </w:t>
      </w:r>
      <w:r w:rsidRPr="00596942">
        <w:rPr>
          <w:rFonts w:ascii="inherit" w:eastAsia="Times New Roman" w:hAnsi="inherit" w:cs="Times New Roman"/>
          <w:i/>
          <w:iCs/>
          <w:color w:val="545353"/>
          <w:sz w:val="23"/>
          <w:lang w:eastAsia="cs-CZ"/>
        </w:rPr>
        <w:t>The Hobbit</w:t>
      </w:r>
      <w:r w:rsidRPr="00596942">
        <w:rPr>
          <w:rFonts w:ascii="Georgia" w:eastAsia="Times New Roman" w:hAnsi="Georgia" w:cs="Times New Roman"/>
          <w:color w:val="545353"/>
          <w:sz w:val="23"/>
          <w:szCs w:val="23"/>
          <w:lang w:eastAsia="cs-CZ"/>
        </w:rPr>
        <w:t> and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as well as a posthumously published volume, </w:t>
      </w:r>
      <w:r w:rsidRPr="00596942">
        <w:rPr>
          <w:rFonts w:ascii="inherit" w:eastAsia="Times New Roman" w:hAnsi="inherit" w:cs="Times New Roman"/>
          <w:i/>
          <w:iCs/>
          <w:color w:val="545353"/>
          <w:sz w:val="23"/>
          <w:lang w:eastAsia="cs-CZ"/>
        </w:rPr>
        <w:t>The Silmarillion</w:t>
      </w:r>
      <w:r w:rsidRPr="00596942">
        <w:rPr>
          <w:rFonts w:ascii="Georgia" w:eastAsia="Times New Roman" w:hAnsi="Georgia" w:cs="Times New Roman"/>
          <w:color w:val="545353"/>
          <w:sz w:val="23"/>
          <w:szCs w:val="23"/>
          <w:lang w:eastAsia="cs-CZ"/>
        </w:rPr>
        <w:t>. Tolkien also produced extensive amounts of related material and notes on the history and languages of his fictional creation. He was a member of an informal club called the Inklings, which also included author C. S. Lewis, another major figure in the field of fantasy. While valuing the virtues and forms of bygone eras, his works were also indelibly marked by his military experience in World War I, and Tolkien did not shy away from portraying the darkness and destruction that war brings. He valued nature, simple decency, perseverance and honor, and disliked industrialism and other negative effects of modernization in general. His work also reflected the values of his Catholic faith. He was not always happy with his literary success, and was somewhat discomforted when his work was enthusiastically adopted by the counterculture of the 1960s.</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 </w:t>
      </w:r>
    </w:p>
    <w:p w:rsidR="00596942" w:rsidRPr="00596942" w:rsidRDefault="00596942" w:rsidP="00596942">
      <w:pPr>
        <w:shd w:val="clear" w:color="auto" w:fill="FFFFFF"/>
        <w:spacing w:after="0" w:line="420" w:lineRule="atLeast"/>
        <w:jc w:val="both"/>
        <w:textAlignment w:val="baseline"/>
        <w:outlineLvl w:val="3"/>
        <w:rPr>
          <w:rFonts w:ascii="Georgia" w:eastAsia="Times New Roman" w:hAnsi="Georgia" w:cs="Times New Roman"/>
          <w:b/>
          <w:bCs/>
          <w:color w:val="545353"/>
          <w:sz w:val="27"/>
          <w:szCs w:val="27"/>
          <w:lang w:eastAsia="cs-CZ"/>
        </w:rPr>
      </w:pPr>
      <w:r w:rsidRPr="00596942">
        <w:rPr>
          <w:rFonts w:ascii="inherit" w:eastAsia="Times New Roman" w:hAnsi="inherit" w:cs="Times New Roman"/>
          <w:b/>
          <w:bCs/>
          <w:color w:val="545353"/>
          <w:sz w:val="27"/>
          <w:lang w:eastAsia="cs-CZ"/>
        </w:rPr>
        <w:t>The Age of Mass Market Paperback Books Begins</w:t>
      </w:r>
    </w:p>
    <w:p w:rsid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Less expensive books with paper or cardboard covers are not a new development. “Dime” novels were common in the late 19</w:t>
      </w:r>
      <w:r w:rsidRPr="00596942">
        <w:rPr>
          <w:rFonts w:ascii="inherit" w:eastAsia="Times New Roman" w:hAnsi="inherit" w:cs="Times New Roman"/>
          <w:color w:val="545353"/>
          <w:sz w:val="18"/>
          <w:szCs w:val="18"/>
          <w:bdr w:val="none" w:sz="0" w:space="0" w:color="auto" w:frame="1"/>
          <w:vertAlign w:val="superscript"/>
          <w:lang w:eastAsia="cs-CZ"/>
        </w:rPr>
        <w:t>th</w:t>
      </w:r>
      <w:r w:rsidRPr="00596942">
        <w:rPr>
          <w:rFonts w:ascii="Georgia" w:eastAsia="Times New Roman" w:hAnsi="Georgia" w:cs="Times New Roman"/>
          <w:color w:val="545353"/>
          <w:sz w:val="23"/>
          <w:szCs w:val="23"/>
          <w:lang w:eastAsia="cs-CZ"/>
        </w:rPr>
        <w:t> Century, but soon gave way in popularity to magazines and other periodicals which were often printed on cheaper “pulp” paper. These were a common source of and outlet for genre fiction. In the 1930s, publishers began experimenting with “mass market” paperback editions of classic books and books that had previously published in hardcover. This format was widely used to provide books to U.S. troops during World War II. In the years after the war, the size of these books was standardized to fit into a back pocket, and thus gained the name “pocket books.” These books were often sold in the same way as periodicals, where the publishers, to ensure maximum exposure of their product, allowed vendors to return unsold books, or at least return stripped covers as proof they had been destroyed and not sold. In the decades that followed, paperback books became ubiquitous, and were found in a wide variety of locations, including newsstands, bus and train stations, drug stores, groceries, general stores, and department stores.</w:t>
      </w: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 xml:space="preserve">The rise of paperback books had a significant impact on the science fiction genre. In the days of the pulp magazines, the stories were of shorter length—primarily short stories, novelettes, and novellas. The paperback, however, lent itself to longer tales. There were early attempts to fill the books with collections of shorter works, or stitch together related short pieces into what was called the “fix-up” novel. Ace Books created what was called the “Ace Double,” two shorter works printed back to back, with each having its own separate cover. Science fiction authors began to write longer works to fit the larger volumes, and these works frequently had their original publication in paperback format. </w:t>
      </w:r>
      <w:r w:rsidRPr="00596942">
        <w:rPr>
          <w:rFonts w:ascii="Georgia" w:eastAsia="Times New Roman" w:hAnsi="Georgia" w:cs="Times New Roman"/>
          <w:color w:val="545353"/>
          <w:sz w:val="23"/>
          <w:szCs w:val="23"/>
          <w:lang w:eastAsia="cs-CZ"/>
        </w:rPr>
        <w:lastRenderedPageBreak/>
        <w:t>Paperbacks had the advantage of being less expensive to print, which made it possible to print books, like science fiction, that might have narrower appeal and were aimed at a particular audience. But it also made it easier for a book, if it became popular, to be affordable and widely circulated. This set the stage for the massive popularity of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 </w:t>
      </w:r>
    </w:p>
    <w:p w:rsidR="00596942" w:rsidRDefault="00596942" w:rsidP="00596942">
      <w:pPr>
        <w:shd w:val="clear" w:color="auto" w:fill="FFFFFF"/>
        <w:spacing w:after="0" w:line="420" w:lineRule="atLeast"/>
        <w:jc w:val="both"/>
        <w:textAlignment w:val="baseline"/>
        <w:outlineLvl w:val="3"/>
        <w:rPr>
          <w:rFonts w:ascii="inherit" w:eastAsia="Times New Roman" w:hAnsi="inherit" w:cs="Times New Roman"/>
          <w:b/>
          <w:bCs/>
          <w:color w:val="545353"/>
          <w:sz w:val="27"/>
          <w:lang w:eastAsia="cs-CZ"/>
        </w:rPr>
      </w:pPr>
    </w:p>
    <w:p w:rsidR="00596942" w:rsidRPr="00596942" w:rsidRDefault="00596942" w:rsidP="00596942">
      <w:pPr>
        <w:shd w:val="clear" w:color="auto" w:fill="FFFFFF"/>
        <w:spacing w:after="0" w:line="420" w:lineRule="atLeast"/>
        <w:jc w:val="both"/>
        <w:textAlignment w:val="baseline"/>
        <w:outlineLvl w:val="3"/>
        <w:rPr>
          <w:rFonts w:ascii="Georgia" w:eastAsia="Times New Roman" w:hAnsi="Georgia" w:cs="Times New Roman"/>
          <w:b/>
          <w:bCs/>
          <w:color w:val="545353"/>
          <w:sz w:val="27"/>
          <w:szCs w:val="27"/>
          <w:lang w:eastAsia="cs-CZ"/>
        </w:rPr>
      </w:pPr>
      <w:r w:rsidRPr="00596942">
        <w:rPr>
          <w:rFonts w:ascii="inherit" w:eastAsia="Times New Roman" w:hAnsi="inherit" w:cs="Times New Roman"/>
          <w:b/>
          <w:bCs/>
          <w:color w:val="545353"/>
          <w:sz w:val="27"/>
          <w:lang w:eastAsia="cs-CZ"/>
        </w:rPr>
        <w:t>A Cultural Phenomenon</w:t>
      </w: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sz w:val="23"/>
          <w:szCs w:val="23"/>
          <w:lang w:eastAsia="cs-CZ"/>
        </w:rPr>
      </w:pP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was first published in three volumes in England in 1954 and 1955: </w:t>
      </w:r>
      <w:r w:rsidRPr="00596942">
        <w:rPr>
          <w:rFonts w:ascii="inherit" w:eastAsia="Times New Roman" w:hAnsi="inherit" w:cs="Times New Roman"/>
          <w:i/>
          <w:iCs/>
          <w:color w:val="545353"/>
          <w:sz w:val="23"/>
          <w:lang w:eastAsia="cs-CZ"/>
        </w:rPr>
        <w:t>The Fellowship of the Ring</w:t>
      </w:r>
      <w:r w:rsidRPr="00596942">
        <w:rPr>
          <w:rFonts w:ascii="Georgia" w:eastAsia="Times New Roman" w:hAnsi="Georgia" w:cs="Times New Roman"/>
          <w:color w:val="545353"/>
          <w:sz w:val="23"/>
          <w:szCs w:val="23"/>
          <w:lang w:eastAsia="cs-CZ"/>
        </w:rPr>
        <w:t>, </w:t>
      </w:r>
      <w:r w:rsidRPr="00596942">
        <w:rPr>
          <w:rFonts w:ascii="inherit" w:eastAsia="Times New Roman" w:hAnsi="inherit" w:cs="Times New Roman"/>
          <w:i/>
          <w:iCs/>
          <w:color w:val="545353"/>
          <w:sz w:val="23"/>
          <w:lang w:eastAsia="cs-CZ"/>
        </w:rPr>
        <w:t>The Two Towers</w:t>
      </w:r>
      <w:r w:rsidRPr="00596942">
        <w:rPr>
          <w:rFonts w:ascii="Georgia" w:eastAsia="Times New Roman" w:hAnsi="Georgia" w:cs="Times New Roman"/>
          <w:color w:val="545353"/>
          <w:sz w:val="23"/>
          <w:szCs w:val="23"/>
          <w:lang w:eastAsia="cs-CZ"/>
        </w:rPr>
        <w:t>, and </w:t>
      </w:r>
      <w:r w:rsidRPr="00596942">
        <w:rPr>
          <w:rFonts w:ascii="inherit" w:eastAsia="Times New Roman" w:hAnsi="inherit" w:cs="Times New Roman"/>
          <w:i/>
          <w:iCs/>
          <w:color w:val="545353"/>
          <w:sz w:val="23"/>
          <w:lang w:eastAsia="cs-CZ"/>
        </w:rPr>
        <w:t>The Return of the King</w:t>
      </w:r>
      <w:r w:rsidRPr="00596942">
        <w:rPr>
          <w:rFonts w:ascii="Georgia" w:eastAsia="Times New Roman" w:hAnsi="Georgia" w:cs="Times New Roman"/>
          <w:color w:val="545353"/>
          <w:sz w:val="23"/>
          <w:szCs w:val="23"/>
          <w:lang w:eastAsia="cs-CZ"/>
        </w:rPr>
        <w:t>. It was a modest success in England, and was published in a U.S. hardcover edition by Houghton Mifflin. Trying to capitalize on what they saw as a loophole in copyright law, Ace Books attempted to publish a 1965 paperback edition without paying royalties to the author. When fans were informed, this move blew up spectacularly, and Ace was forced to withdraw their edition. Later that year, the paperback “Authorized Edition” was released by Ballantine Books. Its sales grew, and within a year, it had reached the top of </w:t>
      </w:r>
      <w:r w:rsidRPr="00596942">
        <w:rPr>
          <w:rFonts w:ascii="inherit" w:eastAsia="Times New Roman" w:hAnsi="inherit" w:cs="Times New Roman"/>
          <w:i/>
          <w:iCs/>
          <w:color w:val="545353"/>
          <w:sz w:val="23"/>
          <w:lang w:eastAsia="cs-CZ"/>
        </w:rPr>
        <w:t>The New York Times</w:t>
      </w:r>
      <w:r w:rsidRPr="00596942">
        <w:rPr>
          <w:rFonts w:ascii="Georgia" w:eastAsia="Times New Roman" w:hAnsi="Georgia" w:cs="Times New Roman"/>
          <w:color w:val="545353"/>
          <w:sz w:val="23"/>
          <w:szCs w:val="23"/>
          <w:lang w:eastAsia="cs-CZ"/>
        </w:rPr>
        <w:t> Paperback Best Seller list. The paperback format allowed these books a wide distribution, and not only were the books widely read, they became a cultural phenomenon unto themselves. A poster based on the paperback cover of </w:t>
      </w:r>
      <w:r w:rsidRPr="00596942">
        <w:rPr>
          <w:rFonts w:ascii="inherit" w:eastAsia="Times New Roman" w:hAnsi="inherit" w:cs="Times New Roman"/>
          <w:i/>
          <w:iCs/>
          <w:color w:val="545353"/>
          <w:sz w:val="23"/>
          <w:lang w:eastAsia="cs-CZ"/>
        </w:rPr>
        <w:t>The Fellowship of the Ring</w:t>
      </w:r>
      <w:r w:rsidRPr="00596942">
        <w:rPr>
          <w:rFonts w:ascii="Georgia" w:eastAsia="Times New Roman" w:hAnsi="Georgia" w:cs="Times New Roman"/>
          <w:color w:val="545353"/>
          <w:sz w:val="23"/>
          <w:szCs w:val="23"/>
          <w:lang w:eastAsia="cs-CZ"/>
        </w:rPr>
        <w:t xml:space="preserve"> became ubiquitous in college dorm rooms around the nation. For some reason, this quasi-medieval tale of an epic fantasy quest captured the imagination of the nation, </w:t>
      </w:r>
      <w:r w:rsidRPr="00596942">
        <w:rPr>
          <w:rFonts w:ascii="Georgia" w:eastAsia="Times New Roman" w:hAnsi="Georgia" w:cs="Times New Roman"/>
          <w:sz w:val="23"/>
          <w:szCs w:val="23"/>
          <w:lang w:eastAsia="cs-CZ"/>
        </w:rPr>
        <w:t>particularly among young people.</w:t>
      </w: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sz w:val="23"/>
          <w:szCs w:val="23"/>
          <w:lang w:eastAsia="cs-CZ"/>
        </w:rPr>
      </w:pPr>
      <w:r w:rsidRPr="00596942">
        <w:rPr>
          <w:rFonts w:ascii="Georgia" w:eastAsia="Times New Roman" w:hAnsi="Georgia" w:cs="Times New Roman"/>
          <w:sz w:val="23"/>
          <w:szCs w:val="23"/>
          <w:lang w:eastAsia="cs-CZ"/>
        </w:rPr>
        <w:t>It’s hard to establish a single reason why a book as unique and different as </w:t>
      </w:r>
      <w:r w:rsidRPr="00596942">
        <w:rPr>
          <w:rFonts w:ascii="inherit" w:eastAsia="Times New Roman" w:hAnsi="inherit" w:cs="Times New Roman"/>
          <w:i/>
          <w:iCs/>
          <w:sz w:val="23"/>
          <w:lang w:eastAsia="cs-CZ"/>
        </w:rPr>
        <w:t>The Lord of the Rings</w:t>
      </w:r>
      <w:r w:rsidRPr="00596942">
        <w:rPr>
          <w:rFonts w:ascii="Georgia" w:eastAsia="Times New Roman" w:hAnsi="Georgia" w:cs="Times New Roman"/>
          <w:sz w:val="23"/>
          <w:szCs w:val="23"/>
          <w:lang w:eastAsia="cs-CZ"/>
        </w:rPr>
        <w:t>, with its deliberately archaic tone, became so popular, but the 1960s were a time of great change and turmoil in the United States. The country was engaged in a long, divisive, and inconclusive </w:t>
      </w:r>
      <w:hyperlink r:id="rId6" w:tgtFrame="external-links-new-window" w:history="1">
        <w:r w:rsidRPr="00596942">
          <w:rPr>
            <w:rFonts w:ascii="inherit" w:eastAsia="Times New Roman" w:hAnsi="inherit" w:cs="Times New Roman"/>
            <w:sz w:val="23"/>
            <w:lang w:eastAsia="cs-CZ"/>
          </w:rPr>
          <w:t>war in Vietnam</w:t>
        </w:r>
      </w:hyperlink>
      <w:r w:rsidRPr="00596942">
        <w:rPr>
          <w:rFonts w:ascii="Georgia" w:eastAsia="Times New Roman" w:hAnsi="Georgia" w:cs="Times New Roman"/>
          <w:sz w:val="23"/>
          <w:szCs w:val="23"/>
          <w:lang w:eastAsia="cs-CZ"/>
        </w:rPr>
        <w:t>. In the midst of both peaceful protests and riots, the racial discrimination that had continued for a century after the Civil War became illegal upon passage of the </w:t>
      </w:r>
      <w:hyperlink r:id="rId7" w:tgtFrame="external-links-new-window" w:history="1">
        <w:r w:rsidRPr="00596942">
          <w:rPr>
            <w:rFonts w:ascii="inherit" w:eastAsia="Times New Roman" w:hAnsi="inherit" w:cs="Times New Roman"/>
            <w:sz w:val="23"/>
            <w:lang w:eastAsia="cs-CZ"/>
          </w:rPr>
          <w:t>Civil Rights Act of 1964</w:t>
        </w:r>
      </w:hyperlink>
      <w:r w:rsidRPr="00596942">
        <w:rPr>
          <w:rFonts w:ascii="Georgia" w:eastAsia="Times New Roman" w:hAnsi="Georgia" w:cs="Times New Roman"/>
          <w:sz w:val="23"/>
          <w:szCs w:val="23"/>
          <w:lang w:eastAsia="cs-CZ"/>
        </w:rPr>
        <w:t>. Gender roles and women’s rights were being questioned by the movement that has been referred to as </w:t>
      </w:r>
      <w:hyperlink r:id="rId8" w:tgtFrame="external-links-new-window" w:history="1">
        <w:r w:rsidRPr="00596942">
          <w:rPr>
            <w:rFonts w:ascii="inherit" w:eastAsia="Times New Roman" w:hAnsi="inherit" w:cs="Times New Roman"/>
            <w:sz w:val="23"/>
            <w:lang w:eastAsia="cs-CZ"/>
          </w:rPr>
          <w:t>Second Wave Feminism</w:t>
        </w:r>
      </w:hyperlink>
      <w:r w:rsidRPr="00596942">
        <w:rPr>
          <w:rFonts w:ascii="Georgia" w:eastAsia="Times New Roman" w:hAnsi="Georgia" w:cs="Times New Roman"/>
          <w:sz w:val="23"/>
          <w:szCs w:val="23"/>
          <w:lang w:eastAsia="cs-CZ"/>
        </w:rPr>
        <w:t>. Because of upheaval in the Christian faith, many scholars consider the era to be the fourth </w:t>
      </w:r>
      <w:hyperlink r:id="rId9" w:tgtFrame="external-links-new-window" w:history="1">
        <w:r w:rsidRPr="00596942">
          <w:rPr>
            <w:rFonts w:ascii="inherit" w:eastAsia="Times New Roman" w:hAnsi="inherit" w:cs="Times New Roman"/>
            <w:sz w:val="23"/>
            <w:lang w:eastAsia="cs-CZ"/>
          </w:rPr>
          <w:t>Great Awakening</w:t>
        </w:r>
      </w:hyperlink>
      <w:r w:rsidRPr="00596942">
        <w:rPr>
          <w:rFonts w:ascii="Georgia" w:eastAsia="Times New Roman" w:hAnsi="Georgia" w:cs="Times New Roman"/>
          <w:sz w:val="23"/>
          <w:szCs w:val="23"/>
          <w:lang w:eastAsia="cs-CZ"/>
        </w:rPr>
        <w:t> in American history. Additionally, there was also wider exploration of other faiths and philosophies, and widespread questioning of spiritual doctrines. A loose movement that became known as “hippies” or the “counterculture” turned its back on traditional norms, and explored alternative lifestyles, communal living, and sex, drugs, and rock and roll. Each of these trends was significant, and together, their impact on American society was enormous.</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 </w:t>
      </w:r>
    </w:p>
    <w:p w:rsidR="00596942" w:rsidRPr="00596942" w:rsidRDefault="00596942" w:rsidP="00596942">
      <w:pPr>
        <w:shd w:val="clear" w:color="auto" w:fill="FFFFFF"/>
        <w:spacing w:after="0" w:line="420" w:lineRule="atLeast"/>
        <w:jc w:val="both"/>
        <w:textAlignment w:val="baseline"/>
        <w:outlineLvl w:val="3"/>
        <w:rPr>
          <w:rFonts w:ascii="Georgia" w:eastAsia="Times New Roman" w:hAnsi="Georgia" w:cs="Times New Roman"/>
          <w:b/>
          <w:bCs/>
          <w:color w:val="545353"/>
          <w:sz w:val="27"/>
          <w:szCs w:val="27"/>
          <w:lang w:eastAsia="cs-CZ"/>
        </w:rPr>
      </w:pPr>
      <w:r w:rsidRPr="00596942">
        <w:rPr>
          <w:rFonts w:ascii="inherit" w:eastAsia="Times New Roman" w:hAnsi="inherit" w:cs="Times New Roman"/>
          <w:b/>
          <w:bCs/>
          <w:i/>
          <w:iCs/>
          <w:color w:val="545353"/>
          <w:sz w:val="27"/>
          <w:lang w:eastAsia="cs-CZ"/>
        </w:rPr>
        <w:t>The Lord of the Rings</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At this point in my columns, I usually recap the book being reviewed, but I’m going to assume that everyone reading this article has either read the books or seen the movies (or both). So instead of the usual recap, I’m going to talk about the overall themes of the book, why I think it was so successful, and how it caught the imagination of so many people.</w:t>
      </w: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xml:space="preserve"> is, at its heart, a paean to simpler times, when life was more pastoral. The Shire of the book’s opening is a bucolic paradise; and when it is despoiled by power-hungry aggressors it’s eventually restored by the returning heroes. The elves are portrayed as living in harmony with nature within their forest abodes, and even the dwarves are in harmony with their mountains and caves. In the decades after the book </w:t>
      </w:r>
      <w:r w:rsidRPr="00596942">
        <w:rPr>
          <w:rFonts w:ascii="Georgia" w:eastAsia="Times New Roman" w:hAnsi="Georgia" w:cs="Times New Roman"/>
          <w:color w:val="545353"/>
          <w:sz w:val="23"/>
          <w:szCs w:val="23"/>
          <w:lang w:eastAsia="cs-CZ"/>
        </w:rPr>
        <w:lastRenderedPageBreak/>
        <w:t>was published, this vision appealed to those who wanted to return to the land, and who were troubled by the drawbacks and complications associated with modern progress and technology. It harkened back to legends and tales of magic and mystery, which stood in stark contrast with the modern world.</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The book, while it portrays a war, is deeply anti-war, which appealed to the people of a nation growing sick of our continued intervention in Vietnam, which showed no sign of ending, nor any meaningful progress. The true heroes of this war were not the dashing knights—they were ordinary hobbits, pressed into service by duty and the desire to do the right thing, slogging doggedly through a despoiled landscape. This exalting of the common man was deeply appealing to American sensibilities.</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The book, without being explicitly religious, was deeply infused with a sense of morality. Compared to a real world filled with moral grey areas and ethical compromises, it gave the readers a chance to feel certain about the rightness of a cause. The characters did not succeed by compromising or bending their principles; they succeeded when they stayed true to their values and pursued an honorable course.</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While the book has few female characters, those few were more than you would find in many adventure books of the time, and they play major roles. Galadriel is one of the great leaders of Middle-earth, and the courageous shieldmaiden Éowyn plays a significant role on the battlefield precisely because she is not a man.</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And finally, the book gives readers a chance to forget the troubles of the real world and immerse themselves completely in another reality, experiencing a world of adventure on a grand scale. The sheer size of the book transports the reader to another, fully-realized world and keeps them there over the course of huge battles and long journeys until the quest is finally finished—something a shorter story could not have done. The word “epic” is overused today, but it truly fits Tolkien’s tale.</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 </w:t>
      </w:r>
    </w:p>
    <w:p w:rsidR="00596942" w:rsidRPr="00596942" w:rsidRDefault="00596942" w:rsidP="00596942">
      <w:pPr>
        <w:shd w:val="clear" w:color="auto" w:fill="FFFFFF"/>
        <w:spacing w:after="0" w:line="420" w:lineRule="atLeast"/>
        <w:jc w:val="both"/>
        <w:textAlignment w:val="baseline"/>
        <w:outlineLvl w:val="3"/>
        <w:rPr>
          <w:rFonts w:ascii="Georgia" w:eastAsia="Times New Roman" w:hAnsi="Georgia" w:cs="Times New Roman"/>
          <w:b/>
          <w:bCs/>
          <w:color w:val="545353"/>
          <w:sz w:val="27"/>
          <w:szCs w:val="27"/>
          <w:lang w:eastAsia="cs-CZ"/>
        </w:rPr>
      </w:pPr>
      <w:r w:rsidRPr="00596942">
        <w:rPr>
          <w:rFonts w:ascii="inherit" w:eastAsia="Times New Roman" w:hAnsi="inherit" w:cs="Times New Roman"/>
          <w:b/>
          <w:bCs/>
          <w:color w:val="545353"/>
          <w:sz w:val="27"/>
          <w:lang w:eastAsia="cs-CZ"/>
        </w:rPr>
        <w:t>The Impact of </w:t>
      </w:r>
      <w:r w:rsidRPr="00596942">
        <w:rPr>
          <w:rFonts w:ascii="inherit" w:eastAsia="Times New Roman" w:hAnsi="inherit" w:cs="Times New Roman"/>
          <w:b/>
          <w:bCs/>
          <w:i/>
          <w:iCs/>
          <w:color w:val="545353"/>
          <w:sz w:val="27"/>
          <w:lang w:eastAsia="cs-CZ"/>
        </w:rPr>
        <w:t>The Lord of the Rings</w:t>
      </w:r>
      <w:r w:rsidRPr="00596942">
        <w:rPr>
          <w:rFonts w:ascii="inherit" w:eastAsia="Times New Roman" w:hAnsi="inherit" w:cs="Times New Roman"/>
          <w:b/>
          <w:bCs/>
          <w:color w:val="545353"/>
          <w:sz w:val="27"/>
          <w:lang w:eastAsia="cs-CZ"/>
        </w:rPr>
        <w:t> on the Science Fiction and Fantasy Genres</w:t>
      </w: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When I was first starting to buy books in the early 1960s, before the publication of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there was not much science fiction on the racks, and fantasy books were rarely to be found. Mainstream fiction, romances, crime, mystery, and even Westerns were much more common.</w:t>
      </w:r>
    </w:p>
    <w:p w:rsidR="00596942" w:rsidRPr="00596942" w:rsidRDefault="00596942" w:rsidP="00596942">
      <w:pPr>
        <w:shd w:val="clear" w:color="auto" w:fill="EEEEEE"/>
        <w:spacing w:after="0" w:line="180" w:lineRule="atLeast"/>
        <w:jc w:val="both"/>
        <w:textAlignment w:val="baseline"/>
        <w:rPr>
          <w:rFonts w:ascii="Arial" w:eastAsia="Times New Roman" w:hAnsi="Arial" w:cs="Arial"/>
          <w:color w:val="848484"/>
          <w:sz w:val="18"/>
          <w:szCs w:val="18"/>
          <w:lang w:eastAsia="cs-CZ"/>
        </w:rPr>
      </w:pPr>
      <w:r>
        <w:rPr>
          <w:rFonts w:ascii="Arial" w:eastAsia="Times New Roman" w:hAnsi="Arial" w:cs="Arial"/>
          <w:noProof/>
          <w:color w:val="848484"/>
          <w:sz w:val="18"/>
          <w:szCs w:val="18"/>
          <w:lang w:eastAsia="cs-CZ"/>
        </w:rPr>
        <w:drawing>
          <wp:inline distT="0" distB="0" distL="0" distR="0">
            <wp:extent cx="1571625" cy="2371725"/>
            <wp:effectExtent l="19050" t="0" r="9525" b="0"/>
            <wp:docPr id="1" name="obrázek 1" descr="https://i1.wp.com/www.tor.com/wp-content/uploads/2018/06/RuinofKings-165.jpg?fit=165%2C300&amp;type=vertical&amp;quality=1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1.wp.com/www.tor.com/wp-content/uploads/2018/06/RuinofKings-165.jpg?fit=165%2C300&amp;type=vertical&amp;quality=100&amp;ssl=1"/>
                    <pic:cNvPicPr>
                      <a:picLocks noChangeAspect="1" noChangeArrowheads="1"/>
                    </pic:cNvPicPr>
                  </pic:nvPicPr>
                  <pic:blipFill>
                    <a:blip r:embed="rId10"/>
                    <a:srcRect/>
                    <a:stretch>
                      <a:fillRect/>
                    </a:stretch>
                  </pic:blipFill>
                  <pic:spPr bwMode="auto">
                    <a:xfrm>
                      <a:off x="0" y="0"/>
                      <a:ext cx="1571625" cy="2371725"/>
                    </a:xfrm>
                    <a:prstGeom prst="rect">
                      <a:avLst/>
                    </a:prstGeom>
                    <a:noFill/>
                    <a:ln w="9525">
                      <a:noFill/>
                      <a:miter lim="800000"/>
                      <a:headEnd/>
                      <a:tailEnd/>
                    </a:ln>
                  </pic:spPr>
                </pic:pic>
              </a:graphicData>
            </a:graphic>
          </wp:inline>
        </w:drawing>
      </w:r>
    </w:p>
    <w:p w:rsidR="00596942" w:rsidRPr="00596942" w:rsidRDefault="00596942" w:rsidP="00596942">
      <w:pPr>
        <w:shd w:val="clear" w:color="auto" w:fill="EEEEEE"/>
        <w:spacing w:after="0" w:line="180" w:lineRule="atLeast"/>
        <w:ind w:left="360" w:right="60"/>
        <w:jc w:val="both"/>
        <w:textAlignment w:val="baseline"/>
        <w:rPr>
          <w:rFonts w:ascii="inherit" w:eastAsia="Times New Roman" w:hAnsi="inherit" w:cs="Arial"/>
          <w:caps/>
          <w:color w:val="848484"/>
          <w:sz w:val="18"/>
          <w:szCs w:val="18"/>
          <w:lang w:eastAsia="cs-CZ"/>
        </w:rPr>
      </w:pPr>
    </w:p>
    <w:p w:rsid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After the publication of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publishers combed their archives for works that might match the success of Tolkien’s work—anything they could find with swordplay or magic involved. One reprint series that became successful was the adventures of Conan the Barbarian, written by Robert E. Howard. And of course, contemporary authors created new works in the vein of Tolkien’s epic fantasy; one of these was a trilogy by Terry Brooks that began with </w:t>
      </w:r>
      <w:r w:rsidRPr="00596942">
        <w:rPr>
          <w:rFonts w:ascii="inherit" w:eastAsia="Times New Roman" w:hAnsi="inherit" w:cs="Times New Roman"/>
          <w:i/>
          <w:iCs/>
          <w:color w:val="545353"/>
          <w:sz w:val="23"/>
          <w:lang w:eastAsia="cs-CZ"/>
        </w:rPr>
        <w:t>The Sword of Shannara</w:t>
      </w:r>
      <w:r w:rsidRPr="00596942">
        <w:rPr>
          <w:rFonts w:ascii="Georgia" w:eastAsia="Times New Roman" w:hAnsi="Georgia" w:cs="Times New Roman"/>
          <w:color w:val="545353"/>
          <w:sz w:val="23"/>
          <w:szCs w:val="23"/>
          <w:lang w:eastAsia="cs-CZ"/>
        </w:rPr>
        <w:t>. And this was far from the only such book; the shelf space occupied by the fantasy genre began to grow. Instead of being read by a small community of established fans,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became one of those books that everyone was reading—or at least everyone knew someone else who was reading it. Fantasy fiction, especially epic fantasy, once an afterthought in publishing, became a new facet of popular culture. And, rather than suffering as the fantasy genre expanded its borders, the science fiction genre grew as well, as the success of the two genres seemed to reinforce each other.</w:t>
      </w: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One rather mixed aspect of the legacy of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is the practice of publishing fantasy narratives as trilogies and other multi-volume sets of books, resulting in books in a series where the story does not resolve at the end of each volume. There is a lean economy to older, shorter tales that many fans miss. With books being issued long before the end of the series is completed, fans often have to endure long waits to see the final, satisfying end of a narrative. But as long as it keeps readers coming back, I see no sign that this practice will be ending any time soon.</w:t>
      </w:r>
    </w:p>
    <w:p w:rsidR="00596942" w:rsidRPr="00596942" w:rsidRDefault="00596942" w:rsidP="00596942">
      <w:pPr>
        <w:shd w:val="clear" w:color="auto" w:fill="FFFFFF"/>
        <w:spacing w:after="30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 </w:t>
      </w:r>
    </w:p>
    <w:p w:rsidR="00596942" w:rsidRPr="00596942" w:rsidRDefault="00596942" w:rsidP="00596942">
      <w:pPr>
        <w:shd w:val="clear" w:color="auto" w:fill="FFFFFF"/>
        <w:spacing w:after="0" w:line="420" w:lineRule="atLeast"/>
        <w:jc w:val="both"/>
        <w:textAlignment w:val="baseline"/>
        <w:outlineLvl w:val="3"/>
        <w:rPr>
          <w:rFonts w:ascii="Georgia" w:eastAsia="Times New Roman" w:hAnsi="Georgia" w:cs="Times New Roman"/>
          <w:b/>
          <w:bCs/>
          <w:color w:val="545353"/>
          <w:sz w:val="27"/>
          <w:szCs w:val="27"/>
          <w:lang w:eastAsia="cs-CZ"/>
        </w:rPr>
      </w:pPr>
      <w:r w:rsidRPr="00596942">
        <w:rPr>
          <w:rFonts w:ascii="inherit" w:eastAsia="Times New Roman" w:hAnsi="inherit" w:cs="Times New Roman"/>
          <w:b/>
          <w:bCs/>
          <w:color w:val="545353"/>
          <w:sz w:val="27"/>
          <w:lang w:eastAsia="cs-CZ"/>
        </w:rPr>
        <w:t>Final Thoughts</w:t>
      </w: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The huge success and broad appeal of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in its paperback edition ushered in a new era in the publishing industry, and put fantasy books on the shelves of stores across the nation. Within a few more decades, the fantasy genre had become an integral part of mainstream culture, no longer confined to a small niche of devoted fans. Readers today might have trouble imagining a time when you couldn’t even find epic fantasy in book form, but that was indeed the situation during my youth.</w:t>
      </w:r>
    </w:p>
    <w:p w:rsidR="00596942" w:rsidRPr="00596942" w:rsidRDefault="00596942" w:rsidP="00596942">
      <w:pPr>
        <w:shd w:val="clear" w:color="auto" w:fill="FFFFFF"/>
        <w:spacing w:after="0" w:line="240" w:lineRule="auto"/>
        <w:jc w:val="both"/>
        <w:textAlignment w:val="baseline"/>
        <w:rPr>
          <w:rFonts w:ascii="Georgia" w:eastAsia="Times New Roman" w:hAnsi="Georgia" w:cs="Times New Roman"/>
          <w:color w:val="545353"/>
          <w:sz w:val="23"/>
          <w:szCs w:val="23"/>
          <w:lang w:eastAsia="cs-CZ"/>
        </w:rPr>
      </w:pPr>
      <w:r w:rsidRPr="00596942">
        <w:rPr>
          <w:rFonts w:ascii="Georgia" w:eastAsia="Times New Roman" w:hAnsi="Georgia" w:cs="Times New Roman"/>
          <w:color w:val="545353"/>
          <w:sz w:val="23"/>
          <w:szCs w:val="23"/>
          <w:lang w:eastAsia="cs-CZ"/>
        </w:rPr>
        <w:t>And now I’d like to hear from you. What are your thoughts on </w:t>
      </w:r>
      <w:r w:rsidRPr="00596942">
        <w:rPr>
          <w:rFonts w:ascii="inherit" w:eastAsia="Times New Roman" w:hAnsi="inherit" w:cs="Times New Roman"/>
          <w:i/>
          <w:iCs/>
          <w:color w:val="545353"/>
          <w:sz w:val="23"/>
          <w:lang w:eastAsia="cs-CZ"/>
        </w:rPr>
        <w:t>The Lord of the Rings</w:t>
      </w:r>
      <w:r w:rsidRPr="00596942">
        <w:rPr>
          <w:rFonts w:ascii="Georgia" w:eastAsia="Times New Roman" w:hAnsi="Georgia" w:cs="Times New Roman"/>
          <w:color w:val="545353"/>
          <w:sz w:val="23"/>
          <w:szCs w:val="23"/>
          <w:lang w:eastAsia="cs-CZ"/>
        </w:rPr>
        <w:t>, and its impact on the fantasy and science fiction genres?</w:t>
      </w:r>
    </w:p>
    <w:p w:rsidR="008D63D3" w:rsidRDefault="008D63D3" w:rsidP="00596942">
      <w:pPr>
        <w:jc w:val="both"/>
      </w:pPr>
    </w:p>
    <w:sectPr w:rsidR="008D63D3" w:rsidSect="008D63D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Georgia">
    <w:panose1 w:val="02040502050405020303"/>
    <w:charset w:val="EE"/>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E5F9B"/>
    <w:multiLevelType w:val="multilevel"/>
    <w:tmpl w:val="50B2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596942"/>
    <w:rsid w:val="00596942"/>
    <w:rsid w:val="008D63D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D63D3"/>
  </w:style>
  <w:style w:type="paragraph" w:styleId="Nadpis3">
    <w:name w:val="heading 3"/>
    <w:basedOn w:val="Normln"/>
    <w:link w:val="Nadpis3Char"/>
    <w:uiPriority w:val="9"/>
    <w:qFormat/>
    <w:rsid w:val="00596942"/>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596942"/>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596942"/>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596942"/>
    <w:rPr>
      <w:rFonts w:ascii="Times New Roman" w:eastAsia="Times New Roman" w:hAnsi="Times New Roman" w:cs="Times New Roman"/>
      <w:b/>
      <w:bCs/>
      <w:sz w:val="24"/>
      <w:szCs w:val="24"/>
      <w:lang w:eastAsia="cs-CZ"/>
    </w:rPr>
  </w:style>
  <w:style w:type="paragraph" w:styleId="Normlnweb">
    <w:name w:val="Normal (Web)"/>
    <w:basedOn w:val="Normln"/>
    <w:uiPriority w:val="99"/>
    <w:semiHidden/>
    <w:unhideWhenUsed/>
    <w:rsid w:val="0059694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596942"/>
    <w:rPr>
      <w:i/>
      <w:iCs/>
    </w:rPr>
  </w:style>
  <w:style w:type="character" w:styleId="Siln">
    <w:name w:val="Strong"/>
    <w:basedOn w:val="Standardnpsmoodstavce"/>
    <w:uiPriority w:val="22"/>
    <w:qFormat/>
    <w:rsid w:val="00596942"/>
    <w:rPr>
      <w:b/>
      <w:bCs/>
    </w:rPr>
  </w:style>
  <w:style w:type="character" w:styleId="Hypertextovodkaz">
    <w:name w:val="Hyperlink"/>
    <w:basedOn w:val="Standardnpsmoodstavce"/>
    <w:uiPriority w:val="99"/>
    <w:unhideWhenUsed/>
    <w:rsid w:val="00596942"/>
    <w:rPr>
      <w:color w:val="0000FF"/>
      <w:u w:val="single"/>
    </w:rPr>
  </w:style>
  <w:style w:type="paragraph" w:styleId="Textbubliny">
    <w:name w:val="Balloon Text"/>
    <w:basedOn w:val="Normln"/>
    <w:link w:val="TextbublinyChar"/>
    <w:uiPriority w:val="99"/>
    <w:semiHidden/>
    <w:unhideWhenUsed/>
    <w:rsid w:val="0059694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969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52348290">
      <w:bodyDiv w:val="1"/>
      <w:marLeft w:val="0"/>
      <w:marRight w:val="0"/>
      <w:marTop w:val="0"/>
      <w:marBottom w:val="0"/>
      <w:divBdr>
        <w:top w:val="none" w:sz="0" w:space="0" w:color="auto"/>
        <w:left w:val="none" w:sz="0" w:space="0" w:color="auto"/>
        <w:bottom w:val="none" w:sz="0" w:space="0" w:color="auto"/>
        <w:right w:val="none" w:sz="0" w:space="0" w:color="auto"/>
      </w:divBdr>
      <w:divsChild>
        <w:div w:id="1951087671">
          <w:marLeft w:val="300"/>
          <w:marRight w:val="0"/>
          <w:marTop w:val="75"/>
          <w:marBottom w:val="300"/>
          <w:divBdr>
            <w:top w:val="none" w:sz="0" w:space="8" w:color="auto"/>
            <w:left w:val="none" w:sz="0" w:space="8" w:color="auto"/>
            <w:bottom w:val="single" w:sz="6" w:space="8" w:color="E6E6E6"/>
            <w:right w:val="none" w:sz="0" w:space="8" w:color="auto"/>
          </w:divBdr>
          <w:divsChild>
            <w:div w:id="696391618">
              <w:marLeft w:val="0"/>
              <w:marRight w:val="0"/>
              <w:marTop w:val="0"/>
              <w:marBottom w:val="0"/>
              <w:divBdr>
                <w:top w:val="single" w:sz="6" w:space="7" w:color="DDDDDD"/>
                <w:left w:val="single" w:sz="6" w:space="0" w:color="DDDDDD"/>
                <w:bottom w:val="single" w:sz="6" w:space="7" w:color="DDDDDD"/>
                <w:right w:val="single" w:sz="6" w:space="0" w:color="DDDDDD"/>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econd-wave_feminism" TargetMode="External"/><Relationship Id="rId3" Type="http://schemas.openxmlformats.org/officeDocument/2006/relationships/settings" Target="settings.xml"/><Relationship Id="rId7" Type="http://schemas.openxmlformats.org/officeDocument/2006/relationships/hyperlink" Target="https://en.wikipedia.org/wiki/Civil_Rights_Act_of_196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Vietnam_War"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en.wikipedia.org/wiki/Great_Awakening"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2126</Words>
  <Characters>12548</Characters>
  <Application>Microsoft Office Word</Application>
  <DocSecurity>0</DocSecurity>
  <Lines>104</Lines>
  <Paragraphs>29</Paragraphs>
  <ScaleCrop>false</ScaleCrop>
  <Company/>
  <LinksUpToDate>false</LinksUpToDate>
  <CharactersWithSpaces>14645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Tomáš Hostýnek</dc:creator>
  <cp:lastModifiedBy>Tomáš Hostýnek</cp:lastModifiedBy>
  <cp:revision>1</cp:revision>
  <dcterms:created xsi:type="dcterms:W3CDTF">2020-10-14T17:52:00Z</dcterms:created>
  <dcterms:modified xsi:type="dcterms:W3CDTF">2020-10-14T17:56:00Z</dcterms:modified>
</cp:coreProperties>
</file>